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10322" w:type="dxa"/>
        <w:tblInd w:w="-24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solid" w:color="C6D9F1" w:themeColor="text2" w:themeTint="33" w:fill="auto"/>
        <w:tblLayout w:type="fixed"/>
        <w:tblLook w:val="04A0" w:firstRow="1" w:lastRow="0" w:firstColumn="1" w:lastColumn="0" w:noHBand="0" w:noVBand="1"/>
      </w:tblPr>
      <w:tblGrid>
        <w:gridCol w:w="3322"/>
        <w:gridCol w:w="7000"/>
      </w:tblGrid>
      <w:tr w:rsidR="00BC6CCE" w:rsidRPr="00BC52B5" w14:paraId="56C9FFEB" w14:textId="77777777">
        <w:trPr>
          <w:trHeight w:val="634"/>
        </w:trPr>
        <w:tc>
          <w:tcPr>
            <w:tcW w:w="3322" w:type="dxa"/>
            <w:tcBorders>
              <w:top w:val="single" w:sz="12" w:space="0" w:color="4F81BD" w:themeColor="accent1"/>
              <w:bottom w:val="nil"/>
            </w:tcBorders>
            <w:shd w:val="solid" w:color="FFFFFF" w:themeColor="background1" w:themeTint="33" w:fill="auto"/>
          </w:tcPr>
          <w:p w14:paraId="74763DFF" w14:textId="70C8463E" w:rsidR="00BC6CCE" w:rsidRPr="00BC52B5" w:rsidRDefault="00CE2A3C">
            <w:pPr>
              <w:jc w:val="center"/>
              <w:rPr>
                <w:rFonts w:cs="Times New Roman"/>
                <w:b/>
                <w:bCs/>
                <w:sz w:val="36"/>
                <w:szCs w:val="36"/>
              </w:rPr>
            </w:pPr>
            <w:r>
              <w:rPr>
                <w:rFonts w:cs="Times New Roman" w:hint="eastAsia"/>
                <w:b/>
                <w:bCs/>
                <w:sz w:val="36"/>
                <w:szCs w:val="36"/>
              </w:rPr>
              <w:t>买入</w:t>
            </w:r>
          </w:p>
        </w:tc>
        <w:tc>
          <w:tcPr>
            <w:tcW w:w="7000" w:type="dxa"/>
            <w:tcBorders>
              <w:top w:val="single" w:sz="12" w:space="0" w:color="4F81BD" w:themeColor="accent1"/>
              <w:left w:val="nil"/>
              <w:bottom w:val="nil"/>
              <w:right w:val="nil"/>
            </w:tcBorders>
            <w:shd w:val="clear" w:color="auto" w:fill="366091"/>
          </w:tcPr>
          <w:p w14:paraId="77356754" w14:textId="664622BB" w:rsidR="00BC6CCE" w:rsidRPr="00BC52B5" w:rsidRDefault="003E4C57" w:rsidP="006C49FC">
            <w:pPr>
              <w:jc w:val="center"/>
              <w:rPr>
                <w:rFonts w:cs="Times New Roman"/>
                <w:szCs w:val="21"/>
              </w:rPr>
            </w:pPr>
            <w:r>
              <w:rPr>
                <w:rFonts w:cs="Times New Roman" w:hint="eastAsia"/>
                <w:b/>
                <w:color w:val="FFFFFF"/>
                <w:sz w:val="32"/>
                <w:szCs w:val="32"/>
              </w:rPr>
              <w:t>浮法玻璃</w:t>
            </w:r>
            <w:r w:rsidR="00A37297">
              <w:rPr>
                <w:rFonts w:cs="Times New Roman" w:hint="eastAsia"/>
                <w:b/>
                <w:color w:val="FFFFFF"/>
                <w:sz w:val="32"/>
                <w:szCs w:val="32"/>
              </w:rPr>
              <w:t>行业盈利低谷</w:t>
            </w:r>
            <w:r w:rsidR="00321BC1">
              <w:rPr>
                <w:rFonts w:cs="Times New Roman" w:hint="eastAsia"/>
                <w:b/>
                <w:color w:val="FFFFFF"/>
                <w:sz w:val="32"/>
                <w:szCs w:val="32"/>
              </w:rPr>
              <w:t>，</w:t>
            </w:r>
            <w:r w:rsidR="00A37297">
              <w:rPr>
                <w:rFonts w:cs="Times New Roman" w:hint="eastAsia"/>
                <w:b/>
                <w:color w:val="FFFFFF"/>
                <w:sz w:val="32"/>
                <w:szCs w:val="32"/>
              </w:rPr>
              <w:t>龙头抗周期能力显著</w:t>
            </w:r>
            <w:r w:rsidR="00A37297">
              <w:rPr>
                <w:rFonts w:cs="Times New Roman" w:hint="eastAsia"/>
                <w:b/>
                <w:color w:val="FFFFFF"/>
                <w:sz w:val="32"/>
                <w:szCs w:val="32"/>
              </w:rPr>
              <w:t xml:space="preserve"> </w:t>
            </w:r>
          </w:p>
        </w:tc>
      </w:tr>
      <w:tr w:rsidR="00BC6CCE" w:rsidRPr="00BC52B5" w14:paraId="7928DD43" w14:textId="77777777">
        <w:trPr>
          <w:trHeight w:val="619"/>
        </w:trPr>
        <w:tc>
          <w:tcPr>
            <w:tcW w:w="3322" w:type="dxa"/>
            <w:tcBorders>
              <w:bottom w:val="single" w:sz="12" w:space="0" w:color="4F81BD" w:themeColor="accent1"/>
            </w:tcBorders>
            <w:shd w:val="solid" w:color="C6D9F1" w:themeColor="text2" w:themeTint="33" w:fill="auto"/>
          </w:tcPr>
          <w:p w14:paraId="1E6BC4B2" w14:textId="5533F5DB" w:rsidR="00BC6CCE" w:rsidRPr="00BC52B5" w:rsidRDefault="00CE2A3C">
            <w:pPr>
              <w:spacing w:line="480" w:lineRule="auto"/>
              <w:jc w:val="center"/>
              <w:rPr>
                <w:rFonts w:cs="Times New Roman"/>
                <w:sz w:val="28"/>
                <w:szCs w:val="28"/>
              </w:rPr>
            </w:pPr>
            <w:r>
              <w:rPr>
                <w:rFonts w:cs="Times New Roman" w:hint="eastAsia"/>
                <w:b/>
                <w:sz w:val="24"/>
                <w:szCs w:val="24"/>
              </w:rPr>
              <w:t>信义玻璃</w:t>
            </w:r>
            <w:r w:rsidRPr="00BC52B5">
              <w:rPr>
                <w:rFonts w:cs="Times New Roman" w:hint="eastAsia"/>
                <w:b/>
                <w:sz w:val="24"/>
                <w:szCs w:val="24"/>
              </w:rPr>
              <w:t>（</w:t>
            </w:r>
            <w:r>
              <w:rPr>
                <w:rFonts w:cs="Times New Roman"/>
                <w:b/>
                <w:sz w:val="24"/>
                <w:szCs w:val="24"/>
              </w:rPr>
              <w:t>0868</w:t>
            </w:r>
            <w:r w:rsidRPr="00BC52B5">
              <w:rPr>
                <w:rFonts w:cs="Times New Roman"/>
                <w:b/>
                <w:sz w:val="24"/>
                <w:szCs w:val="24"/>
              </w:rPr>
              <w:t>.HK</w:t>
            </w:r>
            <w:r w:rsidRPr="00BC52B5">
              <w:rPr>
                <w:rFonts w:cs="Times New Roman" w:hint="eastAsia"/>
                <w:b/>
                <w:sz w:val="24"/>
                <w:szCs w:val="24"/>
              </w:rPr>
              <w:t>）</w:t>
            </w:r>
          </w:p>
        </w:tc>
        <w:tc>
          <w:tcPr>
            <w:tcW w:w="7000" w:type="dxa"/>
            <w:tcBorders>
              <w:bottom w:val="single" w:sz="12" w:space="0" w:color="4F81BD" w:themeColor="accent1"/>
            </w:tcBorders>
            <w:shd w:val="clear" w:color="C6D9F1" w:themeColor="text2" w:themeTint="33" w:fill="FFFFFF" w:themeFill="background1"/>
          </w:tcPr>
          <w:p w14:paraId="2765B0D7" w14:textId="77777777" w:rsidR="00BC6CCE" w:rsidRPr="00BC52B5" w:rsidRDefault="00BC6CCE">
            <w:pPr>
              <w:jc w:val="right"/>
              <w:rPr>
                <w:rFonts w:cs="Times New Roman"/>
                <w:szCs w:val="24"/>
              </w:rPr>
            </w:pPr>
          </w:p>
          <w:p w14:paraId="033DE939" w14:textId="47A89481" w:rsidR="00BC6CCE" w:rsidRPr="00402804" w:rsidRDefault="00CE2A3C" w:rsidP="00705A6D">
            <w:pPr>
              <w:jc w:val="right"/>
              <w:rPr>
                <w:rFonts w:cs="Times New Roman"/>
              </w:rPr>
            </w:pPr>
            <w:r w:rsidRPr="00402804">
              <w:rPr>
                <w:rFonts w:cs="Times New Roman"/>
                <w:szCs w:val="24"/>
              </w:rPr>
              <w:t>202</w:t>
            </w:r>
            <w:r w:rsidR="003E4C57">
              <w:rPr>
                <w:rFonts w:cs="Times New Roman"/>
                <w:szCs w:val="24"/>
              </w:rPr>
              <w:t>2</w:t>
            </w:r>
            <w:r w:rsidRPr="00402804">
              <w:rPr>
                <w:rFonts w:cs="Times New Roman"/>
                <w:szCs w:val="24"/>
              </w:rPr>
              <w:t>-</w:t>
            </w:r>
            <w:r w:rsidR="003E4C57">
              <w:rPr>
                <w:rFonts w:cs="Times New Roman"/>
                <w:szCs w:val="24"/>
              </w:rPr>
              <w:t>0</w:t>
            </w:r>
            <w:r w:rsidR="00A37297">
              <w:rPr>
                <w:rFonts w:cs="Times New Roman"/>
                <w:szCs w:val="24"/>
              </w:rPr>
              <w:t>8</w:t>
            </w:r>
            <w:r w:rsidRPr="00402804">
              <w:rPr>
                <w:rFonts w:cs="Times New Roman"/>
                <w:szCs w:val="24"/>
              </w:rPr>
              <w:t>-</w:t>
            </w:r>
            <w:r w:rsidR="003E4C57">
              <w:rPr>
                <w:rFonts w:cs="Times New Roman"/>
                <w:szCs w:val="24"/>
              </w:rPr>
              <w:t>0</w:t>
            </w:r>
            <w:r w:rsidR="00A37297">
              <w:rPr>
                <w:rFonts w:cs="Times New Roman"/>
                <w:szCs w:val="24"/>
              </w:rPr>
              <w:t>4</w:t>
            </w:r>
            <w:r w:rsidRPr="00402804">
              <w:rPr>
                <w:rFonts w:cs="Times New Roman"/>
                <w:szCs w:val="24"/>
              </w:rPr>
              <w:t xml:space="preserve"> </w:t>
            </w:r>
            <w:r w:rsidRPr="00402804">
              <w:rPr>
                <w:rFonts w:cs="Times New Roman" w:hint="eastAsia"/>
                <w:szCs w:val="24"/>
              </w:rPr>
              <w:t>星期</w:t>
            </w:r>
            <w:r w:rsidR="00A37297">
              <w:rPr>
                <w:rFonts w:cs="Times New Roman" w:hint="eastAsia"/>
                <w:szCs w:val="24"/>
              </w:rPr>
              <w:t>四</w:t>
            </w:r>
          </w:p>
        </w:tc>
      </w:tr>
      <w:tr w:rsidR="00BC6CCE" w:rsidRPr="00BC52B5" w14:paraId="35FF3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501"/>
        </w:trPr>
        <w:tc>
          <w:tcPr>
            <w:tcW w:w="3322" w:type="dxa"/>
            <w:tcBorders>
              <w:top w:val="single" w:sz="12" w:space="0" w:color="4F81BD" w:themeColor="accent1"/>
              <w:left w:val="nil"/>
              <w:bottom w:val="nil"/>
              <w:right w:val="nil"/>
            </w:tcBorders>
            <w:shd w:val="clear" w:color="auto" w:fill="auto"/>
          </w:tcPr>
          <w:p w14:paraId="2FBD3DF7" w14:textId="77777777" w:rsidR="00BC6CCE" w:rsidRPr="00BC52B5" w:rsidRDefault="00BC6CCE">
            <w:pPr>
              <w:spacing w:line="300" w:lineRule="exact"/>
              <w:rPr>
                <w:rFonts w:cs="Times New Roman"/>
                <w:color w:val="000080"/>
                <w:sz w:val="20"/>
                <w:szCs w:val="20"/>
              </w:rPr>
            </w:pPr>
          </w:p>
          <w:tbl>
            <w:tblPr>
              <w:tblpPr w:leftFromText="180" w:rightFromText="180" w:vertAnchor="text" w:horzAnchor="page" w:tblpX="-49" w:tblpY="50"/>
              <w:tblOverlap w:val="never"/>
              <w:tblW w:w="3193" w:type="dxa"/>
              <w:tblLayout w:type="fixed"/>
              <w:tblCellMar>
                <w:left w:w="0" w:type="dxa"/>
                <w:right w:w="0" w:type="dxa"/>
              </w:tblCellMar>
              <w:tblLook w:val="04A0" w:firstRow="1" w:lastRow="0" w:firstColumn="1" w:lastColumn="0" w:noHBand="0" w:noVBand="1"/>
            </w:tblPr>
            <w:tblGrid>
              <w:gridCol w:w="1975"/>
              <w:gridCol w:w="1218"/>
            </w:tblGrid>
            <w:tr w:rsidR="00BC6CCE" w:rsidRPr="00BC52B5" w14:paraId="164C375B" w14:textId="77777777">
              <w:trPr>
                <w:trHeight w:val="312"/>
              </w:trPr>
              <w:tc>
                <w:tcPr>
                  <w:tcW w:w="1975" w:type="dxa"/>
                  <w:tcBorders>
                    <w:top w:val="single" w:sz="12" w:space="0" w:color="auto"/>
                    <w:left w:val="nil"/>
                    <w:bottom w:val="nil"/>
                    <w:right w:val="nil"/>
                  </w:tcBorders>
                  <w:shd w:val="clear" w:color="auto" w:fill="auto"/>
                  <w:noWrap/>
                  <w:tcMar>
                    <w:top w:w="10" w:type="dxa"/>
                    <w:left w:w="10" w:type="dxa"/>
                    <w:right w:w="10" w:type="dxa"/>
                  </w:tcMar>
                  <w:vAlign w:val="center"/>
                </w:tcPr>
                <w:p w14:paraId="09FF096C" w14:textId="49C32C3E" w:rsidR="00BC6CCE" w:rsidRPr="00BC52B5" w:rsidRDefault="00CE2A3C">
                  <w:pPr>
                    <w:widowControl/>
                    <w:textAlignment w:val="center"/>
                    <w:rPr>
                      <w:rFonts w:cs="Times New Roman"/>
                      <w:b/>
                      <w:bCs/>
                      <w:sz w:val="24"/>
                      <w:szCs w:val="24"/>
                    </w:rPr>
                  </w:pPr>
                  <w:r w:rsidRPr="00BC52B5">
                    <w:rPr>
                      <w:rFonts w:cs="Times New Roman" w:hint="eastAsia"/>
                      <w:kern w:val="0"/>
                      <w:sz w:val="24"/>
                      <w:szCs w:val="24"/>
                      <w:lang w:bidi="ar"/>
                    </w:rPr>
                    <w:t>目标价：</w:t>
                  </w:r>
                </w:p>
              </w:tc>
              <w:tc>
                <w:tcPr>
                  <w:tcW w:w="1218" w:type="dxa"/>
                  <w:tcBorders>
                    <w:top w:val="single" w:sz="12" w:space="0" w:color="auto"/>
                    <w:left w:val="nil"/>
                    <w:bottom w:val="nil"/>
                    <w:right w:val="nil"/>
                  </w:tcBorders>
                  <w:shd w:val="clear" w:color="auto" w:fill="auto"/>
                  <w:noWrap/>
                  <w:tcMar>
                    <w:top w:w="10" w:type="dxa"/>
                    <w:left w:w="10" w:type="dxa"/>
                    <w:right w:w="10" w:type="dxa"/>
                  </w:tcMar>
                  <w:vAlign w:val="center"/>
                </w:tcPr>
                <w:p w14:paraId="18191BCD" w14:textId="5F648228" w:rsidR="00BC6CCE" w:rsidRPr="00BC52B5" w:rsidRDefault="00861238" w:rsidP="00832A07">
                  <w:pPr>
                    <w:widowControl/>
                    <w:jc w:val="center"/>
                    <w:textAlignment w:val="center"/>
                    <w:rPr>
                      <w:rFonts w:cs="Times New Roman"/>
                      <w:b/>
                      <w:bCs/>
                      <w:color w:val="004098"/>
                      <w:sz w:val="24"/>
                      <w:szCs w:val="24"/>
                    </w:rPr>
                  </w:pPr>
                  <w:r>
                    <w:rPr>
                      <w:rFonts w:cs="Times New Roman"/>
                      <w:b/>
                      <w:bCs/>
                      <w:color w:val="004098"/>
                      <w:kern w:val="0"/>
                      <w:sz w:val="28"/>
                      <w:szCs w:val="28"/>
                      <w:lang w:bidi="ar"/>
                    </w:rPr>
                    <w:t>2</w:t>
                  </w:r>
                  <w:r w:rsidR="00A17139">
                    <w:rPr>
                      <w:rFonts w:cs="Times New Roman"/>
                      <w:b/>
                      <w:bCs/>
                      <w:color w:val="004098"/>
                      <w:kern w:val="0"/>
                      <w:sz w:val="28"/>
                      <w:szCs w:val="28"/>
                      <w:lang w:bidi="ar"/>
                    </w:rPr>
                    <w:t>1</w:t>
                  </w:r>
                  <w:r w:rsidR="002F2FE5">
                    <w:rPr>
                      <w:rFonts w:cs="Times New Roman"/>
                      <w:b/>
                      <w:bCs/>
                      <w:color w:val="004098"/>
                      <w:kern w:val="0"/>
                      <w:sz w:val="28"/>
                      <w:szCs w:val="28"/>
                      <w:lang w:bidi="ar"/>
                    </w:rPr>
                    <w:t>.</w:t>
                  </w:r>
                  <w:r w:rsidR="00A17139">
                    <w:rPr>
                      <w:rFonts w:cs="Times New Roman"/>
                      <w:b/>
                      <w:bCs/>
                      <w:color w:val="004098"/>
                      <w:kern w:val="0"/>
                      <w:sz w:val="28"/>
                      <w:szCs w:val="28"/>
                      <w:lang w:bidi="ar"/>
                    </w:rPr>
                    <w:t>6</w:t>
                  </w:r>
                  <w:r w:rsidR="00CE2A3C" w:rsidRPr="00BC52B5">
                    <w:rPr>
                      <w:rFonts w:cs="Times New Roman" w:hint="eastAsia"/>
                      <w:b/>
                      <w:bCs/>
                      <w:color w:val="004098"/>
                      <w:kern w:val="0"/>
                      <w:sz w:val="28"/>
                      <w:szCs w:val="28"/>
                      <w:lang w:bidi="ar"/>
                    </w:rPr>
                    <w:t>港元</w:t>
                  </w:r>
                </w:p>
              </w:tc>
            </w:tr>
            <w:tr w:rsidR="00BC6CCE" w:rsidRPr="00BC52B5" w14:paraId="2FB2309D" w14:textId="77777777">
              <w:trPr>
                <w:trHeight w:val="312"/>
              </w:trPr>
              <w:tc>
                <w:tcPr>
                  <w:tcW w:w="1975" w:type="dxa"/>
                  <w:tcBorders>
                    <w:top w:val="nil"/>
                    <w:left w:val="nil"/>
                    <w:bottom w:val="nil"/>
                    <w:right w:val="nil"/>
                  </w:tcBorders>
                  <w:shd w:val="clear" w:color="auto" w:fill="auto"/>
                  <w:noWrap/>
                  <w:tcMar>
                    <w:top w:w="10" w:type="dxa"/>
                    <w:left w:w="10" w:type="dxa"/>
                    <w:right w:w="10" w:type="dxa"/>
                  </w:tcMar>
                  <w:vAlign w:val="center"/>
                </w:tcPr>
                <w:p w14:paraId="04F45429" w14:textId="0EF95B8A" w:rsidR="00BC6CCE" w:rsidRPr="00BC52B5" w:rsidRDefault="00CE2A3C">
                  <w:pPr>
                    <w:widowControl/>
                    <w:textAlignment w:val="center"/>
                    <w:rPr>
                      <w:rFonts w:cs="Times New Roman"/>
                      <w:sz w:val="24"/>
                      <w:szCs w:val="24"/>
                    </w:rPr>
                  </w:pPr>
                  <w:r w:rsidRPr="00BC52B5">
                    <w:rPr>
                      <w:rFonts w:cs="Times New Roman" w:hint="eastAsia"/>
                      <w:kern w:val="0"/>
                      <w:sz w:val="24"/>
                      <w:szCs w:val="24"/>
                      <w:lang w:bidi="ar"/>
                    </w:rPr>
                    <w:t>现</w:t>
                  </w:r>
                  <w:r w:rsidRPr="00BC52B5">
                    <w:rPr>
                      <w:rFonts w:cs="Times New Roman"/>
                      <w:kern w:val="0"/>
                      <w:sz w:val="24"/>
                      <w:szCs w:val="24"/>
                      <w:lang w:bidi="ar"/>
                    </w:rPr>
                    <w:t xml:space="preserve">  </w:t>
                  </w:r>
                  <w:r w:rsidRPr="00BC52B5">
                    <w:rPr>
                      <w:rFonts w:cs="Times New Roman" w:hint="eastAsia"/>
                      <w:kern w:val="0"/>
                      <w:sz w:val="24"/>
                      <w:szCs w:val="24"/>
                      <w:lang w:bidi="ar"/>
                    </w:rPr>
                    <w:t>价：</w:t>
                  </w:r>
                </w:p>
              </w:tc>
              <w:tc>
                <w:tcPr>
                  <w:tcW w:w="1218" w:type="dxa"/>
                  <w:tcBorders>
                    <w:top w:val="nil"/>
                    <w:left w:val="nil"/>
                    <w:bottom w:val="nil"/>
                    <w:right w:val="nil"/>
                  </w:tcBorders>
                  <w:shd w:val="clear" w:color="auto" w:fill="auto"/>
                  <w:noWrap/>
                  <w:tcMar>
                    <w:top w:w="10" w:type="dxa"/>
                    <w:left w:w="10" w:type="dxa"/>
                    <w:right w:w="10" w:type="dxa"/>
                  </w:tcMar>
                  <w:vAlign w:val="center"/>
                </w:tcPr>
                <w:p w14:paraId="2C4D61EB" w14:textId="473508B9" w:rsidR="00BC6CCE" w:rsidRPr="00BC52B5" w:rsidRDefault="00861238" w:rsidP="00A16765">
                  <w:pPr>
                    <w:widowControl/>
                    <w:jc w:val="center"/>
                    <w:textAlignment w:val="center"/>
                    <w:rPr>
                      <w:rFonts w:cs="Times New Roman"/>
                      <w:sz w:val="24"/>
                      <w:szCs w:val="24"/>
                    </w:rPr>
                  </w:pPr>
                  <w:r>
                    <w:rPr>
                      <w:rFonts w:cs="Times New Roman"/>
                      <w:kern w:val="0"/>
                      <w:sz w:val="24"/>
                      <w:szCs w:val="24"/>
                      <w:lang w:bidi="ar"/>
                    </w:rPr>
                    <w:t>1</w:t>
                  </w:r>
                  <w:r w:rsidR="0069149A">
                    <w:rPr>
                      <w:rFonts w:cs="Times New Roman"/>
                      <w:kern w:val="0"/>
                      <w:sz w:val="24"/>
                      <w:szCs w:val="24"/>
                      <w:lang w:bidi="ar"/>
                    </w:rPr>
                    <w:t>5</w:t>
                  </w:r>
                  <w:r>
                    <w:rPr>
                      <w:rFonts w:cs="Times New Roman"/>
                      <w:kern w:val="0"/>
                      <w:sz w:val="24"/>
                      <w:szCs w:val="24"/>
                      <w:lang w:bidi="ar"/>
                    </w:rPr>
                    <w:t>.</w:t>
                  </w:r>
                  <w:r w:rsidR="0069149A">
                    <w:rPr>
                      <w:rFonts w:cs="Times New Roman"/>
                      <w:kern w:val="0"/>
                      <w:sz w:val="24"/>
                      <w:szCs w:val="24"/>
                      <w:lang w:bidi="ar"/>
                    </w:rPr>
                    <w:t>1</w:t>
                  </w:r>
                  <w:r w:rsidR="005415B1">
                    <w:rPr>
                      <w:rFonts w:cs="Times New Roman"/>
                      <w:kern w:val="0"/>
                      <w:sz w:val="24"/>
                      <w:szCs w:val="24"/>
                      <w:lang w:bidi="ar"/>
                    </w:rPr>
                    <w:t>8</w:t>
                  </w:r>
                  <w:r w:rsidR="00CE2A3C" w:rsidRPr="00BC52B5">
                    <w:rPr>
                      <w:rFonts w:cs="Times New Roman" w:hint="eastAsia"/>
                      <w:kern w:val="0"/>
                      <w:sz w:val="24"/>
                      <w:szCs w:val="24"/>
                      <w:lang w:bidi="ar"/>
                    </w:rPr>
                    <w:t>港元</w:t>
                  </w:r>
                </w:p>
              </w:tc>
            </w:tr>
            <w:tr w:rsidR="00BC6CCE" w:rsidRPr="00BC52B5" w14:paraId="7985328F" w14:textId="77777777">
              <w:trPr>
                <w:trHeight w:val="312"/>
              </w:trPr>
              <w:tc>
                <w:tcPr>
                  <w:tcW w:w="1975" w:type="dxa"/>
                  <w:tcBorders>
                    <w:top w:val="nil"/>
                    <w:left w:val="nil"/>
                    <w:bottom w:val="single" w:sz="12" w:space="0" w:color="auto"/>
                    <w:right w:val="nil"/>
                  </w:tcBorders>
                  <w:shd w:val="clear" w:color="auto" w:fill="auto"/>
                  <w:noWrap/>
                  <w:tcMar>
                    <w:top w:w="10" w:type="dxa"/>
                    <w:left w:w="10" w:type="dxa"/>
                    <w:right w:w="10" w:type="dxa"/>
                  </w:tcMar>
                </w:tcPr>
                <w:p w14:paraId="61FFD25F" w14:textId="30C2B6D5" w:rsidR="00BC6CCE" w:rsidRPr="00BC52B5" w:rsidRDefault="00CE2A3C">
                  <w:pPr>
                    <w:widowControl/>
                    <w:jc w:val="left"/>
                    <w:textAlignment w:val="center"/>
                    <w:rPr>
                      <w:rFonts w:cs="Times New Roman"/>
                      <w:sz w:val="24"/>
                      <w:szCs w:val="24"/>
                    </w:rPr>
                  </w:pPr>
                  <w:r w:rsidRPr="00BC52B5">
                    <w:rPr>
                      <w:rFonts w:cs="Times New Roman" w:hint="eastAsia"/>
                      <w:kern w:val="0"/>
                      <w:sz w:val="24"/>
                      <w:szCs w:val="24"/>
                      <w:lang w:bidi="ar"/>
                    </w:rPr>
                    <w:t>预计升幅</w:t>
                  </w:r>
                  <w:r w:rsidRPr="00BC52B5">
                    <w:rPr>
                      <w:rFonts w:cs="Times New Roman"/>
                      <w:kern w:val="0"/>
                      <w:sz w:val="24"/>
                      <w:szCs w:val="24"/>
                      <w:lang w:bidi="ar"/>
                    </w:rPr>
                    <w:t>:</w:t>
                  </w:r>
                </w:p>
              </w:tc>
              <w:tc>
                <w:tcPr>
                  <w:tcW w:w="1218" w:type="dxa"/>
                  <w:tcBorders>
                    <w:top w:val="nil"/>
                    <w:left w:val="nil"/>
                    <w:bottom w:val="single" w:sz="12" w:space="0" w:color="auto"/>
                    <w:right w:val="nil"/>
                  </w:tcBorders>
                  <w:shd w:val="clear" w:color="auto" w:fill="auto"/>
                  <w:noWrap/>
                  <w:tcMar>
                    <w:top w:w="10" w:type="dxa"/>
                    <w:left w:w="10" w:type="dxa"/>
                    <w:right w:w="10" w:type="dxa"/>
                  </w:tcMar>
                </w:tcPr>
                <w:p w14:paraId="2E367076" w14:textId="55AB0F63" w:rsidR="00BC6CCE" w:rsidRPr="00BC52B5" w:rsidRDefault="005415B1">
                  <w:pPr>
                    <w:widowControl/>
                    <w:ind w:firstLineChars="100" w:firstLine="240"/>
                    <w:jc w:val="left"/>
                    <w:textAlignment w:val="center"/>
                    <w:rPr>
                      <w:rFonts w:cs="Times New Roman"/>
                      <w:sz w:val="24"/>
                      <w:szCs w:val="24"/>
                    </w:rPr>
                  </w:pPr>
                  <w:r>
                    <w:rPr>
                      <w:rFonts w:cs="Times New Roman"/>
                      <w:kern w:val="0"/>
                      <w:sz w:val="24"/>
                      <w:szCs w:val="24"/>
                      <w:lang w:bidi="ar"/>
                    </w:rPr>
                    <w:t>4</w:t>
                  </w:r>
                  <w:r w:rsidR="00A17139">
                    <w:rPr>
                      <w:rFonts w:cs="Times New Roman"/>
                      <w:kern w:val="0"/>
                      <w:sz w:val="24"/>
                      <w:szCs w:val="24"/>
                      <w:lang w:bidi="ar"/>
                    </w:rPr>
                    <w:t>2</w:t>
                  </w:r>
                  <w:r w:rsidR="00861238">
                    <w:rPr>
                      <w:rFonts w:cs="Times New Roman"/>
                      <w:kern w:val="0"/>
                      <w:sz w:val="24"/>
                      <w:szCs w:val="24"/>
                      <w:lang w:bidi="ar"/>
                    </w:rPr>
                    <w:t>%</w:t>
                  </w:r>
                </w:p>
              </w:tc>
            </w:tr>
          </w:tbl>
          <w:p w14:paraId="05F19409" w14:textId="77777777" w:rsidR="00BC6CCE" w:rsidRPr="00BC52B5" w:rsidRDefault="00BC6CCE">
            <w:pPr>
              <w:spacing w:line="300" w:lineRule="exact"/>
              <w:rPr>
                <w:rFonts w:cs="Times New Roman"/>
                <w:szCs w:val="21"/>
              </w:rPr>
            </w:pPr>
          </w:p>
          <w:tbl>
            <w:tblPr>
              <w:tblpPr w:leftFromText="180" w:rightFromText="180" w:vertAnchor="text" w:horzAnchor="page" w:tblpX="-74" w:tblpY="241"/>
              <w:tblOverlap w:val="never"/>
              <w:tblW w:w="3265" w:type="dxa"/>
              <w:tblLayout w:type="fixed"/>
              <w:tblCellMar>
                <w:left w:w="0" w:type="dxa"/>
                <w:right w:w="0" w:type="dxa"/>
              </w:tblCellMar>
              <w:tblLook w:val="04A0" w:firstRow="1" w:lastRow="0" w:firstColumn="1" w:lastColumn="0" w:noHBand="0" w:noVBand="1"/>
            </w:tblPr>
            <w:tblGrid>
              <w:gridCol w:w="2010"/>
              <w:gridCol w:w="1255"/>
            </w:tblGrid>
            <w:tr w:rsidR="00BC6CCE" w:rsidRPr="00BC52B5" w14:paraId="39837136" w14:textId="77777777" w:rsidTr="0094528D">
              <w:trPr>
                <w:trHeight w:val="333"/>
              </w:trPr>
              <w:tc>
                <w:tcPr>
                  <w:tcW w:w="2010" w:type="dxa"/>
                  <w:tcBorders>
                    <w:top w:val="nil"/>
                    <w:left w:val="nil"/>
                    <w:bottom w:val="single" w:sz="4" w:space="0" w:color="auto"/>
                    <w:right w:val="nil"/>
                  </w:tcBorders>
                  <w:shd w:val="clear" w:color="auto" w:fill="auto"/>
                  <w:noWrap/>
                  <w:tcMar>
                    <w:top w:w="10" w:type="dxa"/>
                    <w:left w:w="10" w:type="dxa"/>
                    <w:right w:w="10" w:type="dxa"/>
                  </w:tcMar>
                  <w:vAlign w:val="center"/>
                </w:tcPr>
                <w:p w14:paraId="1FC8C8F4" w14:textId="2200C619" w:rsidR="00BC6CCE" w:rsidRPr="00BC52B5" w:rsidRDefault="00CE2A3C">
                  <w:pPr>
                    <w:widowControl/>
                    <w:jc w:val="left"/>
                    <w:textAlignment w:val="center"/>
                    <w:rPr>
                      <w:rFonts w:cs="Times New Roman"/>
                      <w:b/>
                      <w:color w:val="1F497D"/>
                      <w:sz w:val="24"/>
                      <w:szCs w:val="24"/>
                    </w:rPr>
                  </w:pPr>
                  <w:r w:rsidRPr="00BC52B5">
                    <w:rPr>
                      <w:rFonts w:cs="Times New Roman" w:hint="eastAsia"/>
                      <w:b/>
                      <w:color w:val="004098"/>
                      <w:kern w:val="0"/>
                      <w:sz w:val="24"/>
                      <w:szCs w:val="24"/>
                      <w:lang w:bidi="ar"/>
                    </w:rPr>
                    <w:t>重要数据</w:t>
                  </w:r>
                </w:p>
              </w:tc>
              <w:tc>
                <w:tcPr>
                  <w:tcW w:w="1255" w:type="dxa"/>
                  <w:tcBorders>
                    <w:top w:val="nil"/>
                    <w:left w:val="nil"/>
                    <w:bottom w:val="single" w:sz="4" w:space="0" w:color="auto"/>
                    <w:right w:val="nil"/>
                  </w:tcBorders>
                  <w:shd w:val="clear" w:color="auto" w:fill="auto"/>
                  <w:noWrap/>
                  <w:tcMar>
                    <w:top w:w="10" w:type="dxa"/>
                    <w:left w:w="10" w:type="dxa"/>
                    <w:right w:w="10" w:type="dxa"/>
                  </w:tcMar>
                  <w:vAlign w:val="center"/>
                </w:tcPr>
                <w:p w14:paraId="74D20E81" w14:textId="77777777" w:rsidR="00BC6CCE" w:rsidRPr="00BC52B5" w:rsidRDefault="00BC6CCE">
                  <w:pPr>
                    <w:jc w:val="left"/>
                    <w:rPr>
                      <w:rFonts w:cs="Times New Roman"/>
                      <w:b/>
                      <w:color w:val="1F497D"/>
                      <w:sz w:val="24"/>
                      <w:szCs w:val="24"/>
                    </w:rPr>
                  </w:pPr>
                </w:p>
              </w:tc>
            </w:tr>
            <w:tr w:rsidR="00BC6CCE" w:rsidRPr="00BC52B5" w14:paraId="291EB574" w14:textId="77777777" w:rsidTr="0094528D">
              <w:trPr>
                <w:trHeight w:val="318"/>
              </w:trPr>
              <w:tc>
                <w:tcPr>
                  <w:tcW w:w="2010" w:type="dxa"/>
                  <w:tcBorders>
                    <w:top w:val="single" w:sz="4" w:space="0" w:color="auto"/>
                    <w:left w:val="nil"/>
                    <w:bottom w:val="single" w:sz="4" w:space="0" w:color="auto"/>
                    <w:right w:val="nil"/>
                  </w:tcBorders>
                  <w:shd w:val="clear" w:color="auto" w:fill="auto"/>
                  <w:tcMar>
                    <w:top w:w="10" w:type="dxa"/>
                    <w:left w:w="10" w:type="dxa"/>
                    <w:right w:w="10" w:type="dxa"/>
                  </w:tcMar>
                  <w:vAlign w:val="center"/>
                </w:tcPr>
                <w:p w14:paraId="029AF252" w14:textId="630FDA3E" w:rsidR="00BC6CCE" w:rsidRPr="00BC52B5" w:rsidRDefault="00CE2A3C">
                  <w:pPr>
                    <w:widowControl/>
                    <w:jc w:val="left"/>
                    <w:textAlignment w:val="center"/>
                    <w:rPr>
                      <w:rFonts w:cs="Times New Roman"/>
                      <w:b/>
                      <w:color w:val="44546A"/>
                      <w:sz w:val="20"/>
                      <w:szCs w:val="20"/>
                    </w:rPr>
                  </w:pPr>
                  <w:r w:rsidRPr="00BC52B5">
                    <w:rPr>
                      <w:rStyle w:val="font71"/>
                      <w:rFonts w:ascii="Times New Roman" w:hAnsi="Times New Roman" w:cs="Times New Roman" w:hint="default"/>
                      <w:color w:val="auto"/>
                      <w:sz w:val="20"/>
                      <w:szCs w:val="20"/>
                      <w:lang w:bidi="ar"/>
                    </w:rPr>
                    <w:t>日期</w:t>
                  </w:r>
                </w:p>
              </w:tc>
              <w:tc>
                <w:tcPr>
                  <w:tcW w:w="1255" w:type="dxa"/>
                  <w:tcBorders>
                    <w:top w:val="single" w:sz="4" w:space="0" w:color="auto"/>
                    <w:left w:val="nil"/>
                    <w:bottom w:val="single" w:sz="4" w:space="0" w:color="auto"/>
                    <w:right w:val="nil"/>
                  </w:tcBorders>
                  <w:shd w:val="clear" w:color="auto" w:fill="auto"/>
                  <w:tcMar>
                    <w:top w:w="10" w:type="dxa"/>
                    <w:left w:w="10" w:type="dxa"/>
                    <w:right w:w="10" w:type="dxa"/>
                  </w:tcMar>
                  <w:vAlign w:val="center"/>
                </w:tcPr>
                <w:p w14:paraId="0D4EF521" w14:textId="52841D3E" w:rsidR="00BC6CCE" w:rsidRPr="00BC52B5" w:rsidRDefault="00CE2A3C" w:rsidP="00424D58">
                  <w:pPr>
                    <w:widowControl/>
                    <w:jc w:val="right"/>
                    <w:textAlignment w:val="center"/>
                    <w:rPr>
                      <w:rFonts w:cs="Times New Roman"/>
                      <w:b/>
                      <w:color w:val="44546A"/>
                      <w:sz w:val="20"/>
                      <w:szCs w:val="20"/>
                    </w:rPr>
                  </w:pPr>
                  <w:r w:rsidRPr="00BC52B5">
                    <w:rPr>
                      <w:rFonts w:cs="Times New Roman"/>
                      <w:b/>
                      <w:kern w:val="0"/>
                      <w:sz w:val="20"/>
                      <w:szCs w:val="20"/>
                      <w:lang w:bidi="ar"/>
                    </w:rPr>
                    <w:t>202</w:t>
                  </w:r>
                  <w:r w:rsidR="0092072C">
                    <w:rPr>
                      <w:rFonts w:cs="Times New Roman"/>
                      <w:b/>
                      <w:kern w:val="0"/>
                      <w:sz w:val="20"/>
                      <w:szCs w:val="20"/>
                      <w:lang w:bidi="ar"/>
                    </w:rPr>
                    <w:t>2</w:t>
                  </w:r>
                  <w:r w:rsidRPr="00BC52B5">
                    <w:rPr>
                      <w:rFonts w:cs="Times New Roman"/>
                      <w:b/>
                      <w:kern w:val="0"/>
                      <w:sz w:val="20"/>
                      <w:szCs w:val="20"/>
                      <w:lang w:bidi="ar"/>
                    </w:rPr>
                    <w:t>-</w:t>
                  </w:r>
                  <w:r w:rsidR="0092072C">
                    <w:rPr>
                      <w:rFonts w:cs="Times New Roman"/>
                      <w:b/>
                      <w:kern w:val="0"/>
                      <w:sz w:val="20"/>
                      <w:szCs w:val="20"/>
                      <w:lang w:bidi="ar"/>
                    </w:rPr>
                    <w:t>0</w:t>
                  </w:r>
                  <w:r w:rsidR="00A17139">
                    <w:rPr>
                      <w:rFonts w:cs="Times New Roman"/>
                      <w:b/>
                      <w:kern w:val="0"/>
                      <w:sz w:val="20"/>
                      <w:szCs w:val="20"/>
                      <w:lang w:bidi="ar"/>
                    </w:rPr>
                    <w:t>8</w:t>
                  </w:r>
                  <w:r w:rsidRPr="00BC52B5">
                    <w:rPr>
                      <w:rFonts w:cs="Times New Roman"/>
                      <w:b/>
                      <w:kern w:val="0"/>
                      <w:sz w:val="20"/>
                      <w:szCs w:val="20"/>
                      <w:lang w:bidi="ar"/>
                    </w:rPr>
                    <w:t>-</w:t>
                  </w:r>
                  <w:r w:rsidR="0092072C">
                    <w:rPr>
                      <w:rFonts w:cs="Times New Roman"/>
                      <w:b/>
                      <w:kern w:val="0"/>
                      <w:sz w:val="20"/>
                      <w:szCs w:val="20"/>
                      <w:lang w:bidi="ar"/>
                    </w:rPr>
                    <w:t>0</w:t>
                  </w:r>
                  <w:r w:rsidR="00935499">
                    <w:rPr>
                      <w:rFonts w:cs="Times New Roman"/>
                      <w:b/>
                      <w:kern w:val="0"/>
                      <w:sz w:val="20"/>
                      <w:szCs w:val="20"/>
                      <w:lang w:bidi="ar"/>
                    </w:rPr>
                    <w:t>3</w:t>
                  </w:r>
                </w:p>
              </w:tc>
            </w:tr>
            <w:tr w:rsidR="00433DFD" w:rsidRPr="00BC52B5" w14:paraId="222FA7A9" w14:textId="77777777" w:rsidTr="0094528D">
              <w:trPr>
                <w:trHeight w:val="307"/>
              </w:trPr>
              <w:tc>
                <w:tcPr>
                  <w:tcW w:w="2010" w:type="dxa"/>
                  <w:tcBorders>
                    <w:top w:val="single" w:sz="4" w:space="0" w:color="auto"/>
                    <w:left w:val="nil"/>
                    <w:bottom w:val="nil"/>
                    <w:right w:val="nil"/>
                  </w:tcBorders>
                  <w:shd w:val="clear" w:color="auto" w:fill="auto"/>
                  <w:tcMar>
                    <w:top w:w="10" w:type="dxa"/>
                    <w:left w:w="10" w:type="dxa"/>
                    <w:right w:w="10" w:type="dxa"/>
                  </w:tcMar>
                  <w:vAlign w:val="center"/>
                </w:tcPr>
                <w:p w14:paraId="1A23F209" w14:textId="14AE2971" w:rsidR="00433DFD" w:rsidRDefault="00433DFD" w:rsidP="00433DFD">
                  <w:pPr>
                    <w:widowControl/>
                    <w:textAlignment w:val="center"/>
                    <w:rPr>
                      <w:rFonts w:cs="Times New Roman"/>
                      <w:color w:val="000000"/>
                      <w:sz w:val="20"/>
                      <w:szCs w:val="20"/>
                    </w:rPr>
                  </w:pPr>
                  <w:r>
                    <w:rPr>
                      <w:rFonts w:cs="Times New Roman" w:hint="eastAsia"/>
                      <w:color w:val="000000"/>
                      <w:kern w:val="0"/>
                      <w:sz w:val="20"/>
                      <w:szCs w:val="20"/>
                      <w:lang w:bidi="ar"/>
                    </w:rPr>
                    <w:t>收盘价（港元）</w:t>
                  </w:r>
                </w:p>
              </w:tc>
              <w:tc>
                <w:tcPr>
                  <w:tcW w:w="1255" w:type="dxa"/>
                  <w:tcBorders>
                    <w:top w:val="single" w:sz="4" w:space="0" w:color="auto"/>
                    <w:left w:val="nil"/>
                    <w:bottom w:val="nil"/>
                    <w:right w:val="nil"/>
                  </w:tcBorders>
                  <w:shd w:val="clear" w:color="auto" w:fill="auto"/>
                  <w:tcMar>
                    <w:top w:w="10" w:type="dxa"/>
                    <w:left w:w="10" w:type="dxa"/>
                    <w:right w:w="10" w:type="dxa"/>
                  </w:tcMar>
                </w:tcPr>
                <w:p w14:paraId="7008F1C3" w14:textId="0F210565" w:rsidR="00433DFD" w:rsidRPr="00433DFD" w:rsidRDefault="00A17139" w:rsidP="00433DFD">
                  <w:pPr>
                    <w:widowControl/>
                    <w:jc w:val="right"/>
                    <w:textAlignment w:val="top"/>
                    <w:rPr>
                      <w:rFonts w:cs="Times New Roman"/>
                      <w:color w:val="000000"/>
                      <w:sz w:val="20"/>
                      <w:szCs w:val="21"/>
                    </w:rPr>
                  </w:pPr>
                  <w:r>
                    <w:rPr>
                      <w:sz w:val="20"/>
                      <w:szCs w:val="21"/>
                    </w:rPr>
                    <w:t>15.18</w:t>
                  </w:r>
                  <w:r w:rsidR="00433DFD" w:rsidRPr="00433DFD">
                    <w:rPr>
                      <w:sz w:val="20"/>
                      <w:szCs w:val="21"/>
                    </w:rPr>
                    <w:t xml:space="preserve"> </w:t>
                  </w:r>
                </w:p>
              </w:tc>
            </w:tr>
            <w:tr w:rsidR="00433DFD" w:rsidRPr="00BC52B5" w14:paraId="50A7DC8A" w14:textId="77777777" w:rsidTr="0094528D">
              <w:trPr>
                <w:trHeight w:val="301"/>
              </w:trPr>
              <w:tc>
                <w:tcPr>
                  <w:tcW w:w="2010" w:type="dxa"/>
                  <w:tcBorders>
                    <w:top w:val="nil"/>
                    <w:left w:val="nil"/>
                    <w:bottom w:val="nil"/>
                    <w:right w:val="nil"/>
                  </w:tcBorders>
                  <w:shd w:val="clear" w:color="auto" w:fill="auto"/>
                  <w:tcMar>
                    <w:top w:w="10" w:type="dxa"/>
                    <w:left w:w="10" w:type="dxa"/>
                    <w:right w:w="10" w:type="dxa"/>
                  </w:tcMar>
                  <w:vAlign w:val="center"/>
                </w:tcPr>
                <w:p w14:paraId="193FCA26" w14:textId="45401314" w:rsidR="00433DFD" w:rsidRDefault="00433DFD" w:rsidP="00433DFD">
                  <w:pPr>
                    <w:widowControl/>
                    <w:textAlignment w:val="center"/>
                    <w:rPr>
                      <w:rFonts w:ascii="楷体" w:hAnsi="楷体" w:cs="楷体"/>
                      <w:color w:val="000000"/>
                      <w:sz w:val="20"/>
                      <w:szCs w:val="20"/>
                    </w:rPr>
                  </w:pPr>
                  <w:r>
                    <w:rPr>
                      <w:rFonts w:ascii="楷体" w:hAnsi="楷体" w:cs="楷体" w:hint="eastAsia"/>
                      <w:color w:val="000000"/>
                      <w:kern w:val="0"/>
                      <w:sz w:val="20"/>
                      <w:szCs w:val="20"/>
                    </w:rPr>
                    <w:t>总股本（百万股）</w:t>
                  </w:r>
                </w:p>
              </w:tc>
              <w:tc>
                <w:tcPr>
                  <w:tcW w:w="1255" w:type="dxa"/>
                  <w:tcBorders>
                    <w:top w:val="nil"/>
                    <w:left w:val="nil"/>
                    <w:bottom w:val="nil"/>
                    <w:right w:val="nil"/>
                  </w:tcBorders>
                  <w:shd w:val="clear" w:color="auto" w:fill="auto"/>
                  <w:tcMar>
                    <w:top w:w="10" w:type="dxa"/>
                    <w:left w:w="10" w:type="dxa"/>
                    <w:right w:w="10" w:type="dxa"/>
                  </w:tcMar>
                </w:tcPr>
                <w:p w14:paraId="3F3ADFC8" w14:textId="4C8DEA8D" w:rsidR="00433DFD" w:rsidRPr="00433DFD" w:rsidRDefault="00433DFD" w:rsidP="00433DFD">
                  <w:pPr>
                    <w:widowControl/>
                    <w:jc w:val="right"/>
                    <w:textAlignment w:val="top"/>
                    <w:rPr>
                      <w:rFonts w:cs="Times New Roman"/>
                      <w:color w:val="000000"/>
                      <w:sz w:val="20"/>
                      <w:szCs w:val="21"/>
                    </w:rPr>
                  </w:pPr>
                  <w:r w:rsidRPr="00433DFD">
                    <w:rPr>
                      <w:sz w:val="20"/>
                      <w:szCs w:val="21"/>
                    </w:rPr>
                    <w:t>4,0</w:t>
                  </w:r>
                  <w:r w:rsidR="00CA6472">
                    <w:rPr>
                      <w:sz w:val="20"/>
                      <w:szCs w:val="21"/>
                    </w:rPr>
                    <w:t>36</w:t>
                  </w:r>
                </w:p>
              </w:tc>
            </w:tr>
            <w:tr w:rsidR="00433DFD" w:rsidRPr="00BC52B5" w14:paraId="29F21224" w14:textId="77777777" w:rsidTr="0094528D">
              <w:trPr>
                <w:trHeight w:val="301"/>
              </w:trPr>
              <w:tc>
                <w:tcPr>
                  <w:tcW w:w="2010" w:type="dxa"/>
                  <w:tcBorders>
                    <w:top w:val="nil"/>
                    <w:left w:val="nil"/>
                    <w:bottom w:val="nil"/>
                    <w:right w:val="nil"/>
                  </w:tcBorders>
                  <w:shd w:val="clear" w:color="auto" w:fill="auto"/>
                  <w:tcMar>
                    <w:top w:w="10" w:type="dxa"/>
                    <w:left w:w="10" w:type="dxa"/>
                    <w:right w:w="10" w:type="dxa"/>
                  </w:tcMar>
                  <w:vAlign w:val="center"/>
                </w:tcPr>
                <w:p w14:paraId="52C46EA7" w14:textId="413CA826" w:rsidR="00433DFD" w:rsidRDefault="00433DFD" w:rsidP="00433DFD">
                  <w:pPr>
                    <w:widowControl/>
                    <w:textAlignment w:val="center"/>
                    <w:rPr>
                      <w:rFonts w:ascii="楷体" w:hAnsi="楷体" w:cs="楷体"/>
                      <w:color w:val="000000"/>
                      <w:sz w:val="20"/>
                      <w:szCs w:val="20"/>
                    </w:rPr>
                  </w:pPr>
                  <w:r>
                    <w:rPr>
                      <w:rFonts w:ascii="楷体" w:hAnsi="楷体" w:cs="楷体" w:hint="eastAsia"/>
                      <w:color w:val="000000"/>
                      <w:kern w:val="0"/>
                      <w:sz w:val="20"/>
                      <w:szCs w:val="20"/>
                    </w:rPr>
                    <w:t>总市值（百万港元）</w:t>
                  </w:r>
                </w:p>
              </w:tc>
              <w:tc>
                <w:tcPr>
                  <w:tcW w:w="1255" w:type="dxa"/>
                  <w:tcBorders>
                    <w:top w:val="nil"/>
                    <w:left w:val="nil"/>
                    <w:bottom w:val="nil"/>
                    <w:right w:val="nil"/>
                  </w:tcBorders>
                  <w:shd w:val="clear" w:color="auto" w:fill="auto"/>
                  <w:tcMar>
                    <w:top w:w="10" w:type="dxa"/>
                    <w:left w:w="10" w:type="dxa"/>
                    <w:right w:w="10" w:type="dxa"/>
                  </w:tcMar>
                </w:tcPr>
                <w:p w14:paraId="54D5D24F" w14:textId="4ED124B3" w:rsidR="00433DFD" w:rsidRPr="00433DFD" w:rsidRDefault="00CA6472" w:rsidP="00433DFD">
                  <w:pPr>
                    <w:widowControl/>
                    <w:jc w:val="right"/>
                    <w:textAlignment w:val="top"/>
                    <w:rPr>
                      <w:rFonts w:cs="Times New Roman"/>
                      <w:color w:val="000000"/>
                      <w:sz w:val="20"/>
                      <w:szCs w:val="21"/>
                    </w:rPr>
                  </w:pPr>
                  <w:r>
                    <w:rPr>
                      <w:sz w:val="20"/>
                      <w:szCs w:val="21"/>
                    </w:rPr>
                    <w:t>61</w:t>
                  </w:r>
                  <w:r w:rsidR="00433DFD" w:rsidRPr="00433DFD">
                    <w:rPr>
                      <w:sz w:val="20"/>
                      <w:szCs w:val="21"/>
                    </w:rPr>
                    <w:t>,</w:t>
                  </w:r>
                  <w:r>
                    <w:rPr>
                      <w:sz w:val="20"/>
                      <w:szCs w:val="21"/>
                    </w:rPr>
                    <w:t>266</w:t>
                  </w:r>
                  <w:r w:rsidR="00433DFD" w:rsidRPr="00433DFD">
                    <w:rPr>
                      <w:sz w:val="20"/>
                      <w:szCs w:val="21"/>
                    </w:rPr>
                    <w:t xml:space="preserve"> </w:t>
                  </w:r>
                </w:p>
              </w:tc>
            </w:tr>
            <w:tr w:rsidR="00433DFD" w:rsidRPr="00BC52B5" w14:paraId="3A47A02B" w14:textId="77777777" w:rsidTr="0094528D">
              <w:trPr>
                <w:trHeight w:val="286"/>
              </w:trPr>
              <w:tc>
                <w:tcPr>
                  <w:tcW w:w="2010" w:type="dxa"/>
                  <w:tcBorders>
                    <w:top w:val="nil"/>
                    <w:left w:val="nil"/>
                    <w:bottom w:val="nil"/>
                    <w:right w:val="nil"/>
                  </w:tcBorders>
                  <w:shd w:val="clear" w:color="auto" w:fill="auto"/>
                  <w:tcMar>
                    <w:top w:w="10" w:type="dxa"/>
                    <w:left w:w="10" w:type="dxa"/>
                    <w:right w:w="10" w:type="dxa"/>
                  </w:tcMar>
                  <w:vAlign w:val="center"/>
                </w:tcPr>
                <w:p w14:paraId="46AEC911" w14:textId="5C0284AE" w:rsidR="00433DFD" w:rsidRDefault="00433DFD" w:rsidP="00433DFD">
                  <w:pPr>
                    <w:widowControl/>
                    <w:textAlignment w:val="center"/>
                    <w:rPr>
                      <w:rFonts w:ascii="楷体" w:hAnsi="楷体" w:cs="楷体"/>
                      <w:color w:val="000000"/>
                      <w:sz w:val="20"/>
                      <w:szCs w:val="20"/>
                    </w:rPr>
                  </w:pPr>
                  <w:r>
                    <w:rPr>
                      <w:rFonts w:ascii="楷体" w:hAnsi="楷体" w:cs="楷体" w:hint="eastAsia"/>
                      <w:color w:val="000000"/>
                      <w:kern w:val="0"/>
                      <w:sz w:val="20"/>
                      <w:szCs w:val="20"/>
                    </w:rPr>
                    <w:t>净资产（百万港元）</w:t>
                  </w:r>
                </w:p>
              </w:tc>
              <w:tc>
                <w:tcPr>
                  <w:tcW w:w="1255" w:type="dxa"/>
                  <w:tcBorders>
                    <w:top w:val="nil"/>
                    <w:left w:val="nil"/>
                    <w:bottom w:val="nil"/>
                    <w:right w:val="nil"/>
                  </w:tcBorders>
                  <w:shd w:val="clear" w:color="auto" w:fill="auto"/>
                  <w:tcMar>
                    <w:top w:w="10" w:type="dxa"/>
                    <w:left w:w="10" w:type="dxa"/>
                    <w:right w:w="10" w:type="dxa"/>
                  </w:tcMar>
                </w:tcPr>
                <w:p w14:paraId="3A6470C9" w14:textId="61249F74" w:rsidR="00433DFD" w:rsidRPr="00433DFD" w:rsidRDefault="00433DFD" w:rsidP="00433DFD">
                  <w:pPr>
                    <w:widowControl/>
                    <w:jc w:val="right"/>
                    <w:textAlignment w:val="top"/>
                    <w:rPr>
                      <w:rFonts w:cs="Times New Roman"/>
                      <w:color w:val="000000" w:themeColor="text1"/>
                      <w:sz w:val="20"/>
                      <w:szCs w:val="21"/>
                    </w:rPr>
                  </w:pPr>
                  <w:r w:rsidRPr="00433DFD">
                    <w:rPr>
                      <w:sz w:val="20"/>
                      <w:szCs w:val="21"/>
                    </w:rPr>
                    <w:t>3</w:t>
                  </w:r>
                  <w:r w:rsidR="000F3BCF">
                    <w:rPr>
                      <w:sz w:val="20"/>
                      <w:szCs w:val="21"/>
                    </w:rPr>
                    <w:t>2</w:t>
                  </w:r>
                  <w:r w:rsidRPr="00433DFD">
                    <w:rPr>
                      <w:sz w:val="20"/>
                      <w:szCs w:val="21"/>
                    </w:rPr>
                    <w:t>,</w:t>
                  </w:r>
                  <w:r w:rsidR="000F3BCF">
                    <w:rPr>
                      <w:sz w:val="20"/>
                      <w:szCs w:val="21"/>
                    </w:rPr>
                    <w:t>810</w:t>
                  </w:r>
                </w:p>
              </w:tc>
            </w:tr>
            <w:tr w:rsidR="00433DFD" w:rsidRPr="00BC52B5" w14:paraId="743F1060" w14:textId="77777777" w:rsidTr="0094528D">
              <w:trPr>
                <w:trHeight w:val="286"/>
              </w:trPr>
              <w:tc>
                <w:tcPr>
                  <w:tcW w:w="2010" w:type="dxa"/>
                  <w:tcBorders>
                    <w:top w:val="nil"/>
                    <w:left w:val="nil"/>
                    <w:bottom w:val="nil"/>
                    <w:right w:val="nil"/>
                  </w:tcBorders>
                  <w:shd w:val="clear" w:color="auto" w:fill="auto"/>
                  <w:tcMar>
                    <w:top w:w="10" w:type="dxa"/>
                    <w:left w:w="10" w:type="dxa"/>
                    <w:right w:w="10" w:type="dxa"/>
                  </w:tcMar>
                  <w:vAlign w:val="center"/>
                </w:tcPr>
                <w:p w14:paraId="68D86098" w14:textId="5D9BD2D4" w:rsidR="00433DFD" w:rsidRDefault="00433DFD" w:rsidP="00433DFD">
                  <w:pPr>
                    <w:widowControl/>
                    <w:textAlignment w:val="center"/>
                    <w:rPr>
                      <w:rFonts w:ascii="楷体" w:hAnsi="楷体" w:cs="楷体"/>
                      <w:color w:val="000000"/>
                      <w:sz w:val="20"/>
                      <w:szCs w:val="20"/>
                    </w:rPr>
                  </w:pPr>
                  <w:r>
                    <w:rPr>
                      <w:rFonts w:ascii="楷体" w:hAnsi="楷体" w:cs="楷体" w:hint="eastAsia"/>
                      <w:color w:val="000000"/>
                      <w:kern w:val="0"/>
                      <w:sz w:val="20"/>
                      <w:szCs w:val="20"/>
                    </w:rPr>
                    <w:t>总资产（百万港元）</w:t>
                  </w:r>
                </w:p>
              </w:tc>
              <w:tc>
                <w:tcPr>
                  <w:tcW w:w="1255" w:type="dxa"/>
                  <w:tcBorders>
                    <w:top w:val="nil"/>
                    <w:left w:val="nil"/>
                    <w:bottom w:val="nil"/>
                    <w:right w:val="nil"/>
                  </w:tcBorders>
                  <w:shd w:val="clear" w:color="auto" w:fill="auto"/>
                  <w:tcMar>
                    <w:top w:w="10" w:type="dxa"/>
                    <w:left w:w="10" w:type="dxa"/>
                    <w:right w:w="10" w:type="dxa"/>
                  </w:tcMar>
                </w:tcPr>
                <w:p w14:paraId="4FFE924A" w14:textId="66E8A88C" w:rsidR="00433DFD" w:rsidRPr="00433DFD" w:rsidRDefault="00433DFD" w:rsidP="00433DFD">
                  <w:pPr>
                    <w:widowControl/>
                    <w:jc w:val="right"/>
                    <w:textAlignment w:val="top"/>
                    <w:rPr>
                      <w:rFonts w:cs="Times New Roman"/>
                      <w:color w:val="000000" w:themeColor="text1"/>
                      <w:sz w:val="20"/>
                      <w:szCs w:val="21"/>
                    </w:rPr>
                  </w:pPr>
                  <w:r w:rsidRPr="00433DFD">
                    <w:rPr>
                      <w:sz w:val="20"/>
                      <w:szCs w:val="21"/>
                    </w:rPr>
                    <w:t>5</w:t>
                  </w:r>
                  <w:r w:rsidR="000F3BCF">
                    <w:rPr>
                      <w:sz w:val="20"/>
                      <w:szCs w:val="21"/>
                    </w:rPr>
                    <w:t>8</w:t>
                  </w:r>
                  <w:r w:rsidRPr="00433DFD">
                    <w:rPr>
                      <w:sz w:val="20"/>
                      <w:szCs w:val="21"/>
                    </w:rPr>
                    <w:t>,</w:t>
                  </w:r>
                  <w:r w:rsidR="000F3BCF">
                    <w:rPr>
                      <w:sz w:val="20"/>
                      <w:szCs w:val="21"/>
                    </w:rPr>
                    <w:t>750</w:t>
                  </w:r>
                </w:p>
              </w:tc>
            </w:tr>
            <w:tr w:rsidR="004524D5" w:rsidRPr="00BC52B5" w14:paraId="5AED13AF" w14:textId="77777777" w:rsidTr="0094528D">
              <w:trPr>
                <w:trHeight w:val="286"/>
              </w:trPr>
              <w:tc>
                <w:tcPr>
                  <w:tcW w:w="2010" w:type="dxa"/>
                  <w:tcBorders>
                    <w:top w:val="nil"/>
                    <w:left w:val="nil"/>
                    <w:bottom w:val="nil"/>
                    <w:right w:val="nil"/>
                  </w:tcBorders>
                  <w:shd w:val="clear" w:color="auto" w:fill="auto"/>
                  <w:tcMar>
                    <w:top w:w="10" w:type="dxa"/>
                    <w:left w:w="10" w:type="dxa"/>
                    <w:right w:w="10" w:type="dxa"/>
                  </w:tcMar>
                  <w:vAlign w:val="center"/>
                </w:tcPr>
                <w:p w14:paraId="32641781" w14:textId="290CFBE6" w:rsidR="004524D5" w:rsidRDefault="00CE2A3C" w:rsidP="004524D5">
                  <w:pPr>
                    <w:widowControl/>
                    <w:textAlignment w:val="center"/>
                    <w:rPr>
                      <w:rFonts w:ascii="楷体" w:hAnsi="楷体" w:cs="楷体"/>
                      <w:color w:val="000000"/>
                      <w:sz w:val="20"/>
                      <w:szCs w:val="20"/>
                    </w:rPr>
                  </w:pPr>
                  <w:r w:rsidRPr="0094528D">
                    <w:rPr>
                      <w:rFonts w:cs="Times New Roman"/>
                      <w:color w:val="000000"/>
                      <w:kern w:val="0"/>
                      <w:sz w:val="20"/>
                      <w:szCs w:val="20"/>
                    </w:rPr>
                    <w:t>52</w:t>
                  </w:r>
                  <w:r>
                    <w:rPr>
                      <w:rStyle w:val="font61"/>
                      <w:rFonts w:ascii="楷体" w:eastAsia="楷体" w:hAnsi="楷体" w:cs="楷体" w:hint="default"/>
                      <w:sz w:val="20"/>
                      <w:szCs w:val="20"/>
                    </w:rPr>
                    <w:t>周高低（港元）</w:t>
                  </w:r>
                </w:p>
              </w:tc>
              <w:tc>
                <w:tcPr>
                  <w:tcW w:w="1255" w:type="dxa"/>
                  <w:tcBorders>
                    <w:top w:val="nil"/>
                    <w:left w:val="nil"/>
                    <w:bottom w:val="nil"/>
                    <w:right w:val="nil"/>
                  </w:tcBorders>
                  <w:shd w:val="clear" w:color="auto" w:fill="auto"/>
                  <w:tcMar>
                    <w:top w:w="10" w:type="dxa"/>
                    <w:left w:w="10" w:type="dxa"/>
                    <w:right w:w="10" w:type="dxa"/>
                  </w:tcMar>
                </w:tcPr>
                <w:p w14:paraId="44E6879B" w14:textId="6586156D" w:rsidR="004524D5" w:rsidRPr="00981AFC" w:rsidRDefault="00CE2A3C" w:rsidP="00832A07">
                  <w:pPr>
                    <w:widowControl/>
                    <w:jc w:val="right"/>
                    <w:textAlignment w:val="top"/>
                    <w:rPr>
                      <w:rFonts w:cs="Times New Roman"/>
                      <w:color w:val="000000" w:themeColor="text1"/>
                      <w:sz w:val="20"/>
                      <w:szCs w:val="20"/>
                    </w:rPr>
                  </w:pPr>
                  <w:r>
                    <w:rPr>
                      <w:rFonts w:cs="Times New Roman"/>
                      <w:color w:val="000000" w:themeColor="text1"/>
                      <w:kern w:val="0"/>
                      <w:sz w:val="20"/>
                      <w:szCs w:val="20"/>
                    </w:rPr>
                    <w:t>3</w:t>
                  </w:r>
                  <w:r w:rsidR="00E04983">
                    <w:rPr>
                      <w:rFonts w:cs="Times New Roman" w:hint="eastAsia"/>
                      <w:color w:val="000000" w:themeColor="text1"/>
                      <w:kern w:val="0"/>
                      <w:sz w:val="20"/>
                      <w:szCs w:val="20"/>
                    </w:rPr>
                    <w:t>3.70</w:t>
                  </w:r>
                  <w:r w:rsidRPr="00981AFC">
                    <w:rPr>
                      <w:rFonts w:cs="Times New Roman"/>
                      <w:color w:val="000000" w:themeColor="text1"/>
                      <w:kern w:val="0"/>
                      <w:sz w:val="20"/>
                      <w:szCs w:val="20"/>
                    </w:rPr>
                    <w:t>/</w:t>
                  </w:r>
                  <w:r>
                    <w:rPr>
                      <w:rFonts w:cs="Times New Roman"/>
                      <w:color w:val="000000" w:themeColor="text1"/>
                      <w:kern w:val="0"/>
                      <w:sz w:val="20"/>
                      <w:szCs w:val="20"/>
                    </w:rPr>
                    <w:t>1</w:t>
                  </w:r>
                  <w:r w:rsidR="00E04983">
                    <w:rPr>
                      <w:rFonts w:cs="Times New Roman" w:hint="eastAsia"/>
                      <w:color w:val="000000" w:themeColor="text1"/>
                      <w:kern w:val="0"/>
                      <w:sz w:val="20"/>
                      <w:szCs w:val="20"/>
                    </w:rPr>
                    <w:t>7.10</w:t>
                  </w:r>
                </w:p>
              </w:tc>
            </w:tr>
            <w:tr w:rsidR="004524D5" w:rsidRPr="00BC52B5" w14:paraId="58DA9851" w14:textId="77777777" w:rsidTr="0094528D">
              <w:trPr>
                <w:trHeight w:val="286"/>
              </w:trPr>
              <w:tc>
                <w:tcPr>
                  <w:tcW w:w="2010" w:type="dxa"/>
                  <w:tcBorders>
                    <w:top w:val="nil"/>
                    <w:left w:val="nil"/>
                    <w:bottom w:val="single" w:sz="4" w:space="0" w:color="auto"/>
                    <w:right w:val="nil"/>
                  </w:tcBorders>
                  <w:shd w:val="clear" w:color="auto" w:fill="auto"/>
                  <w:tcMar>
                    <w:top w:w="10" w:type="dxa"/>
                    <w:left w:w="10" w:type="dxa"/>
                    <w:right w:w="10" w:type="dxa"/>
                  </w:tcMar>
                  <w:vAlign w:val="center"/>
                </w:tcPr>
                <w:p w14:paraId="5418FA43" w14:textId="624B98D5" w:rsidR="004524D5" w:rsidRDefault="00CE2A3C" w:rsidP="004524D5">
                  <w:pPr>
                    <w:widowControl/>
                    <w:textAlignment w:val="center"/>
                    <w:rPr>
                      <w:rFonts w:ascii="楷体" w:hAnsi="楷体" w:cs="楷体"/>
                      <w:color w:val="000000"/>
                      <w:sz w:val="20"/>
                      <w:szCs w:val="20"/>
                    </w:rPr>
                  </w:pPr>
                  <w:r>
                    <w:rPr>
                      <w:rFonts w:ascii="楷体" w:hAnsi="楷体" w:cs="楷体" w:hint="eastAsia"/>
                      <w:color w:val="000000"/>
                      <w:kern w:val="0"/>
                      <w:sz w:val="20"/>
                      <w:szCs w:val="20"/>
                    </w:rPr>
                    <w:t>每股净资产（港元）</w:t>
                  </w:r>
                </w:p>
              </w:tc>
              <w:tc>
                <w:tcPr>
                  <w:tcW w:w="1255" w:type="dxa"/>
                  <w:tcBorders>
                    <w:top w:val="nil"/>
                    <w:left w:val="nil"/>
                    <w:bottom w:val="single" w:sz="4" w:space="0" w:color="auto"/>
                    <w:right w:val="nil"/>
                  </w:tcBorders>
                  <w:shd w:val="clear" w:color="auto" w:fill="auto"/>
                  <w:tcMar>
                    <w:top w:w="10" w:type="dxa"/>
                    <w:left w:w="10" w:type="dxa"/>
                    <w:right w:w="10" w:type="dxa"/>
                  </w:tcMar>
                </w:tcPr>
                <w:p w14:paraId="5D45C670" w14:textId="65E9B593" w:rsidR="004524D5" w:rsidRPr="00981AFC" w:rsidRDefault="00034302" w:rsidP="004524D5">
                  <w:pPr>
                    <w:widowControl/>
                    <w:jc w:val="right"/>
                    <w:textAlignment w:val="top"/>
                    <w:rPr>
                      <w:rFonts w:cs="Times New Roman"/>
                      <w:color w:val="000000" w:themeColor="text1"/>
                      <w:sz w:val="20"/>
                      <w:szCs w:val="20"/>
                    </w:rPr>
                  </w:pPr>
                  <w:r>
                    <w:rPr>
                      <w:rFonts w:cs="Times New Roman"/>
                      <w:color w:val="000000" w:themeColor="text1"/>
                      <w:sz w:val="20"/>
                      <w:szCs w:val="20"/>
                    </w:rPr>
                    <w:t>8</w:t>
                  </w:r>
                  <w:r w:rsidR="00E04983">
                    <w:rPr>
                      <w:rFonts w:cs="Times New Roman" w:hint="eastAsia"/>
                      <w:color w:val="000000" w:themeColor="text1"/>
                      <w:sz w:val="20"/>
                      <w:szCs w:val="20"/>
                    </w:rPr>
                    <w:t>.</w:t>
                  </w:r>
                  <w:r w:rsidR="008F4AC9">
                    <w:rPr>
                      <w:rFonts w:cs="Times New Roman"/>
                      <w:color w:val="000000" w:themeColor="text1"/>
                      <w:sz w:val="20"/>
                      <w:szCs w:val="20"/>
                    </w:rPr>
                    <w:t>13</w:t>
                  </w:r>
                </w:p>
              </w:tc>
            </w:tr>
            <w:tr w:rsidR="00BC6CCE" w:rsidRPr="00BC52B5" w14:paraId="3A77B680" w14:textId="77777777" w:rsidTr="0094528D">
              <w:trPr>
                <w:trHeight w:val="286"/>
              </w:trPr>
              <w:tc>
                <w:tcPr>
                  <w:tcW w:w="3265" w:type="dxa"/>
                  <w:gridSpan w:val="2"/>
                  <w:tcBorders>
                    <w:top w:val="single" w:sz="4" w:space="0" w:color="auto"/>
                    <w:left w:val="nil"/>
                    <w:bottom w:val="nil"/>
                    <w:right w:val="nil"/>
                  </w:tcBorders>
                  <w:shd w:val="clear" w:color="auto" w:fill="auto"/>
                  <w:noWrap/>
                  <w:tcMar>
                    <w:top w:w="10" w:type="dxa"/>
                    <w:left w:w="10" w:type="dxa"/>
                    <w:right w:w="10" w:type="dxa"/>
                  </w:tcMar>
                  <w:vAlign w:val="center"/>
                </w:tcPr>
                <w:p w14:paraId="55124F44" w14:textId="5184F390" w:rsidR="00BC6CCE" w:rsidRPr="00BC52B5" w:rsidRDefault="00CE2A3C">
                  <w:pPr>
                    <w:jc w:val="left"/>
                    <w:rPr>
                      <w:rFonts w:cs="Times New Roman"/>
                      <w:color w:val="000000"/>
                      <w:sz w:val="20"/>
                      <w:szCs w:val="20"/>
                    </w:rPr>
                  </w:pPr>
                  <w:r w:rsidRPr="00BC52B5">
                    <w:rPr>
                      <w:rFonts w:cs="Times New Roman" w:hint="eastAsia"/>
                      <w:i/>
                      <w:iCs/>
                      <w:sz w:val="16"/>
                      <w:szCs w:val="16"/>
                      <w:lang w:bidi="ar"/>
                    </w:rPr>
                    <w:t>数据来源：</w:t>
                  </w:r>
                  <w:r w:rsidRPr="00BC52B5">
                    <w:rPr>
                      <w:rStyle w:val="font31"/>
                      <w:i/>
                      <w:iCs/>
                      <w:lang w:bidi="ar"/>
                    </w:rPr>
                    <w:t>Wind</w:t>
                  </w:r>
                  <w:r w:rsidRPr="00BC52B5">
                    <w:rPr>
                      <w:rStyle w:val="font31"/>
                      <w:rFonts w:hint="eastAsia"/>
                      <w:i/>
                      <w:iCs/>
                      <w:lang w:bidi="ar"/>
                    </w:rPr>
                    <w:t>、</w:t>
                  </w:r>
                  <w:r w:rsidRPr="00BC52B5">
                    <w:rPr>
                      <w:rFonts w:cs="Times New Roman" w:hint="eastAsia"/>
                      <w:i/>
                      <w:iCs/>
                      <w:sz w:val="16"/>
                      <w:szCs w:val="16"/>
                      <w:lang w:bidi="ar"/>
                    </w:rPr>
                    <w:t>国元证券经纪（香港）整理</w:t>
                  </w:r>
                </w:p>
              </w:tc>
            </w:tr>
          </w:tbl>
          <w:p w14:paraId="1DA11B54" w14:textId="77777777" w:rsidR="00BC6CCE" w:rsidRPr="00BC52B5" w:rsidRDefault="00BC6CCE">
            <w:pPr>
              <w:spacing w:line="300" w:lineRule="exact"/>
              <w:rPr>
                <w:rFonts w:cs="Times New Roman"/>
                <w:szCs w:val="21"/>
              </w:rPr>
            </w:pPr>
          </w:p>
          <w:tbl>
            <w:tblPr>
              <w:tblW w:w="3186" w:type="dxa"/>
              <w:tblLayout w:type="fixed"/>
              <w:tblCellMar>
                <w:left w:w="0" w:type="dxa"/>
                <w:right w:w="0" w:type="dxa"/>
              </w:tblCellMar>
              <w:tblLook w:val="04A0" w:firstRow="1" w:lastRow="0" w:firstColumn="1" w:lastColumn="0" w:noHBand="0" w:noVBand="1"/>
            </w:tblPr>
            <w:tblGrid>
              <w:gridCol w:w="3175"/>
              <w:gridCol w:w="11"/>
            </w:tblGrid>
            <w:tr w:rsidR="00BC6CCE" w:rsidRPr="00BC52B5" w14:paraId="0E241442" w14:textId="77777777" w:rsidTr="00FF2003">
              <w:trPr>
                <w:trHeight w:val="508"/>
              </w:trPr>
              <w:tc>
                <w:tcPr>
                  <w:tcW w:w="3186" w:type="dxa"/>
                  <w:gridSpan w:val="2"/>
                  <w:tcBorders>
                    <w:top w:val="nil"/>
                    <w:left w:val="nil"/>
                    <w:bottom w:val="nil"/>
                    <w:right w:val="nil"/>
                  </w:tcBorders>
                  <w:shd w:val="clear" w:color="auto" w:fill="auto"/>
                  <w:noWrap/>
                  <w:tcMar>
                    <w:top w:w="10" w:type="dxa"/>
                    <w:left w:w="10" w:type="dxa"/>
                    <w:right w:w="10" w:type="dxa"/>
                  </w:tcMar>
                  <w:vAlign w:val="center"/>
                </w:tcPr>
                <w:p w14:paraId="48A21C4A" w14:textId="089B6BE1" w:rsidR="00BC6CCE" w:rsidRPr="00BC52B5" w:rsidRDefault="00CE2A3C">
                  <w:pPr>
                    <w:widowControl/>
                    <w:jc w:val="left"/>
                    <w:textAlignment w:val="center"/>
                    <w:rPr>
                      <w:rFonts w:cs="Times New Roman"/>
                      <w:b/>
                      <w:color w:val="1F497D"/>
                      <w:sz w:val="24"/>
                      <w:szCs w:val="24"/>
                    </w:rPr>
                  </w:pPr>
                  <w:r w:rsidRPr="00BC52B5">
                    <w:rPr>
                      <w:rFonts w:cs="Times New Roman" w:hint="eastAsia"/>
                      <w:b/>
                      <w:color w:val="004098"/>
                      <w:kern w:val="0"/>
                      <w:sz w:val="24"/>
                      <w:szCs w:val="24"/>
                      <w:lang w:bidi="ar"/>
                    </w:rPr>
                    <w:t>主要股东</w:t>
                  </w:r>
                </w:p>
              </w:tc>
            </w:tr>
            <w:tr w:rsidR="00BC6CCE" w:rsidRPr="00BC52B5" w14:paraId="7755F17B" w14:textId="77777777" w:rsidTr="00FF2003">
              <w:trPr>
                <w:trHeight w:val="311"/>
              </w:trPr>
              <w:tc>
                <w:tcPr>
                  <w:tcW w:w="3186" w:type="dxa"/>
                  <w:gridSpan w:val="2"/>
                  <w:tcBorders>
                    <w:top w:val="nil"/>
                    <w:left w:val="nil"/>
                    <w:bottom w:val="nil"/>
                    <w:right w:val="nil"/>
                  </w:tcBorders>
                  <w:shd w:val="clear" w:color="auto" w:fill="auto"/>
                  <w:noWrap/>
                  <w:tcMar>
                    <w:top w:w="10" w:type="dxa"/>
                    <w:left w:w="10" w:type="dxa"/>
                    <w:right w:w="10" w:type="dxa"/>
                  </w:tcMar>
                  <w:vAlign w:val="center"/>
                </w:tcPr>
                <w:tbl>
                  <w:tblPr>
                    <w:tblW w:w="3229" w:type="dxa"/>
                    <w:tblLayout w:type="fixed"/>
                    <w:tblCellMar>
                      <w:left w:w="0" w:type="dxa"/>
                      <w:right w:w="0" w:type="dxa"/>
                    </w:tblCellMar>
                    <w:tblLook w:val="04A0" w:firstRow="1" w:lastRow="0" w:firstColumn="1" w:lastColumn="0" w:noHBand="0" w:noVBand="1"/>
                  </w:tblPr>
                  <w:tblGrid>
                    <w:gridCol w:w="3229"/>
                  </w:tblGrid>
                  <w:tr w:rsidR="00FF2003" w:rsidRPr="00E53FE6" w14:paraId="37F8E157" w14:textId="77777777" w:rsidTr="00C70451">
                    <w:trPr>
                      <w:trHeight w:val="263"/>
                    </w:trPr>
                    <w:tc>
                      <w:tcPr>
                        <w:tcW w:w="3229" w:type="dxa"/>
                        <w:tcBorders>
                          <w:top w:val="nil"/>
                          <w:left w:val="nil"/>
                          <w:bottom w:val="nil"/>
                          <w:right w:val="nil"/>
                        </w:tcBorders>
                        <w:shd w:val="clear" w:color="auto" w:fill="auto"/>
                        <w:noWrap/>
                        <w:tcMar>
                          <w:top w:w="10" w:type="dxa"/>
                          <w:left w:w="10" w:type="dxa"/>
                          <w:right w:w="10" w:type="dxa"/>
                        </w:tcMar>
                        <w:vAlign w:val="center"/>
                      </w:tcPr>
                      <w:p w14:paraId="45B12583" w14:textId="14ADF584" w:rsidR="00FF2003" w:rsidRPr="00E53FE6" w:rsidRDefault="00CE2A3C" w:rsidP="00FF2003">
                        <w:pPr>
                          <w:widowControl/>
                          <w:textAlignment w:val="center"/>
                          <w:rPr>
                            <w:rFonts w:cs="Times New Roman"/>
                            <w:color w:val="000000"/>
                            <w:kern w:val="0"/>
                            <w:sz w:val="20"/>
                            <w:szCs w:val="20"/>
                          </w:rPr>
                        </w:pPr>
                        <w:proofErr w:type="spellStart"/>
                        <w:r w:rsidRPr="00676DF9">
                          <w:rPr>
                            <w:rFonts w:cs="Times New Roman"/>
                            <w:color w:val="000000"/>
                            <w:kern w:val="0"/>
                            <w:sz w:val="20"/>
                            <w:szCs w:val="20"/>
                          </w:rPr>
                          <w:t>Realbest</w:t>
                        </w:r>
                        <w:proofErr w:type="spellEnd"/>
                        <w:r w:rsidRPr="00676DF9">
                          <w:rPr>
                            <w:rFonts w:cs="Times New Roman"/>
                            <w:color w:val="000000"/>
                            <w:kern w:val="0"/>
                            <w:sz w:val="20"/>
                            <w:szCs w:val="20"/>
                          </w:rPr>
                          <w:t xml:space="preserve"> Investment </w:t>
                        </w:r>
                        <w:proofErr w:type="gramStart"/>
                        <w:r w:rsidRPr="00676DF9">
                          <w:rPr>
                            <w:rFonts w:cs="Times New Roman"/>
                            <w:color w:val="000000"/>
                            <w:kern w:val="0"/>
                            <w:sz w:val="20"/>
                            <w:szCs w:val="20"/>
                          </w:rPr>
                          <w:t>Limited(</w:t>
                        </w:r>
                        <w:proofErr w:type="gramEnd"/>
                        <w:r w:rsidRPr="00676DF9">
                          <w:rPr>
                            <w:rFonts w:cs="Times New Roman"/>
                            <w:color w:val="000000"/>
                            <w:kern w:val="0"/>
                            <w:sz w:val="20"/>
                            <w:szCs w:val="20"/>
                          </w:rPr>
                          <w:t>1</w:t>
                        </w:r>
                        <w:r w:rsidR="00630714">
                          <w:rPr>
                            <w:rFonts w:cs="Times New Roman"/>
                            <w:color w:val="000000"/>
                            <w:kern w:val="0"/>
                            <w:sz w:val="20"/>
                            <w:szCs w:val="20"/>
                          </w:rPr>
                          <w:t>8</w:t>
                        </w:r>
                        <w:r w:rsidRPr="00676DF9">
                          <w:rPr>
                            <w:rFonts w:cs="Times New Roman"/>
                            <w:color w:val="000000"/>
                            <w:kern w:val="0"/>
                            <w:sz w:val="20"/>
                            <w:szCs w:val="20"/>
                          </w:rPr>
                          <w:t>.</w:t>
                        </w:r>
                        <w:r w:rsidR="00630714">
                          <w:rPr>
                            <w:rFonts w:cs="Times New Roman"/>
                            <w:color w:val="000000"/>
                            <w:kern w:val="0"/>
                            <w:sz w:val="20"/>
                            <w:szCs w:val="20"/>
                          </w:rPr>
                          <w:t>0</w:t>
                        </w:r>
                        <w:r w:rsidR="005430A3">
                          <w:rPr>
                            <w:rFonts w:cs="Times New Roman"/>
                            <w:color w:val="000000"/>
                            <w:kern w:val="0"/>
                            <w:sz w:val="20"/>
                            <w:szCs w:val="20"/>
                          </w:rPr>
                          <w:t>5</w:t>
                        </w:r>
                        <w:r w:rsidRPr="00676DF9">
                          <w:rPr>
                            <w:rFonts w:cs="Times New Roman"/>
                            <w:color w:val="000000"/>
                            <w:kern w:val="0"/>
                            <w:sz w:val="20"/>
                            <w:szCs w:val="20"/>
                          </w:rPr>
                          <w:t>%)</w:t>
                        </w:r>
                      </w:p>
                    </w:tc>
                  </w:tr>
                  <w:tr w:rsidR="00FF2003" w:rsidRPr="000C2BC1" w14:paraId="5A302D6C" w14:textId="77777777" w:rsidTr="00C70451">
                    <w:trPr>
                      <w:trHeight w:val="249"/>
                    </w:trPr>
                    <w:tc>
                      <w:tcPr>
                        <w:tcW w:w="3229" w:type="dxa"/>
                        <w:tcBorders>
                          <w:top w:val="nil"/>
                          <w:left w:val="nil"/>
                          <w:bottom w:val="nil"/>
                          <w:right w:val="nil"/>
                        </w:tcBorders>
                        <w:shd w:val="clear" w:color="auto" w:fill="auto"/>
                        <w:noWrap/>
                        <w:tcMar>
                          <w:top w:w="10" w:type="dxa"/>
                          <w:left w:w="10" w:type="dxa"/>
                          <w:right w:w="10" w:type="dxa"/>
                        </w:tcMar>
                        <w:vAlign w:val="center"/>
                      </w:tcPr>
                      <w:p w14:paraId="61E99CC5" w14:textId="70B072FC" w:rsidR="00FF2003" w:rsidRPr="000C2BC1" w:rsidRDefault="00CE2A3C" w:rsidP="00FF2003">
                        <w:pPr>
                          <w:widowControl/>
                          <w:textAlignment w:val="center"/>
                          <w:rPr>
                            <w:rFonts w:cs="Times New Roman"/>
                            <w:color w:val="000000"/>
                            <w:sz w:val="20"/>
                            <w:szCs w:val="20"/>
                          </w:rPr>
                        </w:pPr>
                        <w:r w:rsidRPr="00676DF9">
                          <w:rPr>
                            <w:rFonts w:cs="Times New Roman"/>
                            <w:color w:val="000000"/>
                            <w:sz w:val="20"/>
                            <w:szCs w:val="20"/>
                          </w:rPr>
                          <w:t>High Park Technology Limited (6.</w:t>
                        </w:r>
                        <w:r w:rsidR="005430A3">
                          <w:rPr>
                            <w:rFonts w:cs="Times New Roman"/>
                            <w:color w:val="000000"/>
                            <w:sz w:val="20"/>
                            <w:szCs w:val="20"/>
                          </w:rPr>
                          <w:t>6</w:t>
                        </w:r>
                        <w:r w:rsidR="00630714">
                          <w:rPr>
                            <w:rFonts w:cs="Times New Roman"/>
                            <w:color w:val="000000"/>
                            <w:sz w:val="20"/>
                            <w:szCs w:val="20"/>
                          </w:rPr>
                          <w:t>4</w:t>
                        </w:r>
                        <w:r w:rsidRPr="00676DF9">
                          <w:rPr>
                            <w:rFonts w:cs="Times New Roman"/>
                            <w:color w:val="000000"/>
                            <w:sz w:val="20"/>
                            <w:szCs w:val="20"/>
                          </w:rPr>
                          <w:t>%)</w:t>
                        </w:r>
                      </w:p>
                    </w:tc>
                  </w:tr>
                  <w:tr w:rsidR="00FF2003" w:rsidRPr="00676DF9" w14:paraId="397113E4" w14:textId="77777777" w:rsidTr="00C70451">
                    <w:trPr>
                      <w:trHeight w:val="249"/>
                    </w:trPr>
                    <w:tc>
                      <w:tcPr>
                        <w:tcW w:w="3229" w:type="dxa"/>
                        <w:tcBorders>
                          <w:top w:val="nil"/>
                          <w:left w:val="nil"/>
                          <w:bottom w:val="nil"/>
                          <w:right w:val="nil"/>
                        </w:tcBorders>
                        <w:shd w:val="clear" w:color="auto" w:fill="auto"/>
                        <w:noWrap/>
                        <w:tcMar>
                          <w:top w:w="10" w:type="dxa"/>
                          <w:left w:w="10" w:type="dxa"/>
                          <w:right w:w="10" w:type="dxa"/>
                        </w:tcMar>
                      </w:tcPr>
                      <w:p w14:paraId="054B6BBE" w14:textId="79422166" w:rsidR="00FF2003" w:rsidRPr="00676DF9" w:rsidRDefault="00AD15B3" w:rsidP="00FF2003">
                        <w:pPr>
                          <w:widowControl/>
                          <w:textAlignment w:val="center"/>
                        </w:pPr>
                        <w:proofErr w:type="spellStart"/>
                        <w:r w:rsidRPr="00676DF9">
                          <w:t>Telerich</w:t>
                        </w:r>
                        <w:proofErr w:type="spellEnd"/>
                        <w:r w:rsidRPr="00676DF9">
                          <w:t xml:space="preserve"> Investment Limited (6.</w:t>
                        </w:r>
                        <w:r w:rsidR="00630714">
                          <w:t>26</w:t>
                        </w:r>
                        <w:r w:rsidRPr="00676DF9">
                          <w:t>%)</w:t>
                        </w:r>
                      </w:p>
                    </w:tc>
                  </w:tr>
                  <w:tr w:rsidR="00FF2003" w:rsidRPr="00E54CF7" w14:paraId="38626821" w14:textId="77777777" w:rsidTr="00C70451">
                    <w:trPr>
                      <w:trHeight w:val="249"/>
                    </w:trPr>
                    <w:tc>
                      <w:tcPr>
                        <w:tcW w:w="3229" w:type="dxa"/>
                        <w:tcBorders>
                          <w:top w:val="nil"/>
                          <w:left w:val="nil"/>
                          <w:bottom w:val="nil"/>
                          <w:right w:val="nil"/>
                        </w:tcBorders>
                        <w:shd w:val="clear" w:color="auto" w:fill="auto"/>
                        <w:noWrap/>
                        <w:tcMar>
                          <w:top w:w="10" w:type="dxa"/>
                          <w:left w:w="10" w:type="dxa"/>
                          <w:right w:w="10" w:type="dxa"/>
                        </w:tcMar>
                      </w:tcPr>
                      <w:p w14:paraId="4214F0B0" w14:textId="4CB2ECC7" w:rsidR="00FF2003" w:rsidRPr="00E54CF7" w:rsidRDefault="00AD15B3" w:rsidP="00FF2003">
                        <w:pPr>
                          <w:widowControl/>
                          <w:textAlignment w:val="center"/>
                        </w:pPr>
                        <w:proofErr w:type="spellStart"/>
                        <w:r w:rsidRPr="00E54CF7">
                          <w:t>Copark</w:t>
                        </w:r>
                        <w:proofErr w:type="spellEnd"/>
                        <w:r w:rsidRPr="00E54CF7">
                          <w:t xml:space="preserve"> Investment Limited (6.</w:t>
                        </w:r>
                        <w:r w:rsidR="005430A3">
                          <w:t>1</w:t>
                        </w:r>
                        <w:r w:rsidR="00630714">
                          <w:t>4</w:t>
                        </w:r>
                        <w:r w:rsidRPr="00E54CF7">
                          <w:t>%)</w:t>
                        </w:r>
                      </w:p>
                    </w:tc>
                  </w:tr>
                </w:tbl>
                <w:p w14:paraId="1929E57F" w14:textId="6C2E4244" w:rsidR="00BC6CCE" w:rsidRPr="00BC52B5" w:rsidRDefault="00BC6CCE" w:rsidP="00A16765">
                  <w:pPr>
                    <w:widowControl/>
                    <w:textAlignment w:val="center"/>
                    <w:rPr>
                      <w:rFonts w:cs="Times New Roman"/>
                      <w:color w:val="000000"/>
                      <w:sz w:val="20"/>
                      <w:szCs w:val="20"/>
                    </w:rPr>
                  </w:pPr>
                </w:p>
              </w:tc>
            </w:tr>
            <w:tr w:rsidR="00BC6CCE" w:rsidRPr="00BC52B5" w14:paraId="06A49B7A" w14:textId="77777777" w:rsidTr="00FF2003">
              <w:trPr>
                <w:gridAfter w:val="1"/>
                <w:wAfter w:w="11" w:type="dxa"/>
                <w:trHeight w:val="523"/>
              </w:trPr>
              <w:tc>
                <w:tcPr>
                  <w:tcW w:w="3175" w:type="dxa"/>
                  <w:tcBorders>
                    <w:top w:val="nil"/>
                    <w:left w:val="nil"/>
                    <w:bottom w:val="nil"/>
                    <w:right w:val="nil"/>
                  </w:tcBorders>
                  <w:shd w:val="clear" w:color="auto" w:fill="auto"/>
                  <w:noWrap/>
                  <w:tcMar>
                    <w:top w:w="10" w:type="dxa"/>
                    <w:left w:w="10" w:type="dxa"/>
                    <w:right w:w="10" w:type="dxa"/>
                  </w:tcMar>
                  <w:vAlign w:val="center"/>
                </w:tcPr>
                <w:p w14:paraId="56EABEBF" w14:textId="381D8567" w:rsidR="00BC6CCE" w:rsidRPr="00BC52B5" w:rsidRDefault="00CE2A3C">
                  <w:pPr>
                    <w:widowControl/>
                    <w:jc w:val="left"/>
                    <w:textAlignment w:val="center"/>
                    <w:rPr>
                      <w:rFonts w:cs="Times New Roman"/>
                      <w:b/>
                      <w:color w:val="1F497D"/>
                      <w:sz w:val="24"/>
                      <w:szCs w:val="24"/>
                    </w:rPr>
                  </w:pPr>
                  <w:r w:rsidRPr="00BC52B5">
                    <w:rPr>
                      <w:rFonts w:cs="Times New Roman" w:hint="eastAsia"/>
                      <w:b/>
                      <w:color w:val="004098"/>
                      <w:kern w:val="0"/>
                      <w:sz w:val="24"/>
                      <w:szCs w:val="24"/>
                      <w:lang w:bidi="ar"/>
                    </w:rPr>
                    <w:t>相关报告</w:t>
                  </w:r>
                </w:p>
              </w:tc>
            </w:tr>
            <w:tr w:rsidR="00BC6CCE" w:rsidRPr="00BC52B5" w14:paraId="72E23431" w14:textId="77777777" w:rsidTr="00FF2003">
              <w:trPr>
                <w:gridAfter w:val="1"/>
                <w:wAfter w:w="11" w:type="dxa"/>
                <w:trHeight w:val="320"/>
              </w:trPr>
              <w:tc>
                <w:tcPr>
                  <w:tcW w:w="3175" w:type="dxa"/>
                  <w:tcBorders>
                    <w:top w:val="nil"/>
                    <w:left w:val="nil"/>
                    <w:bottom w:val="nil"/>
                    <w:right w:val="nil"/>
                  </w:tcBorders>
                  <w:shd w:val="clear" w:color="auto" w:fill="auto"/>
                  <w:noWrap/>
                  <w:tcMar>
                    <w:top w:w="10" w:type="dxa"/>
                    <w:left w:w="10" w:type="dxa"/>
                    <w:right w:w="10" w:type="dxa"/>
                  </w:tcMar>
                  <w:vAlign w:val="center"/>
                </w:tcPr>
                <w:p w14:paraId="73ED54FC" w14:textId="7FEB77AF" w:rsidR="00BC6CCE" w:rsidRPr="00BC52B5" w:rsidRDefault="00CE2A3C" w:rsidP="004502D9">
                  <w:pPr>
                    <w:widowControl/>
                    <w:jc w:val="left"/>
                    <w:textAlignment w:val="center"/>
                    <w:rPr>
                      <w:rFonts w:cs="Times New Roman"/>
                      <w:color w:val="000000"/>
                      <w:sz w:val="20"/>
                      <w:szCs w:val="20"/>
                    </w:rPr>
                  </w:pPr>
                  <w:r>
                    <w:rPr>
                      <w:rFonts w:cs="Times New Roman" w:hint="eastAsia"/>
                      <w:color w:val="000000"/>
                      <w:kern w:val="0"/>
                      <w:sz w:val="20"/>
                      <w:szCs w:val="20"/>
                      <w:lang w:bidi="ar"/>
                    </w:rPr>
                    <w:t>深度</w:t>
                  </w:r>
                  <w:r w:rsidRPr="00BC52B5">
                    <w:rPr>
                      <w:rFonts w:cs="Times New Roman" w:hint="eastAsia"/>
                      <w:color w:val="000000"/>
                      <w:kern w:val="0"/>
                      <w:sz w:val="20"/>
                      <w:szCs w:val="20"/>
                      <w:lang w:bidi="ar"/>
                    </w:rPr>
                    <w:t>报告</w:t>
                  </w:r>
                  <w:r w:rsidRPr="00BC52B5">
                    <w:rPr>
                      <w:rFonts w:cs="Times New Roman"/>
                      <w:color w:val="000000"/>
                      <w:kern w:val="0"/>
                      <w:sz w:val="20"/>
                      <w:szCs w:val="20"/>
                      <w:lang w:bidi="ar"/>
                    </w:rPr>
                    <w:t>-</w:t>
                  </w:r>
                  <w:r>
                    <w:rPr>
                      <w:rFonts w:cs="Times New Roman"/>
                      <w:color w:val="000000"/>
                      <w:kern w:val="0"/>
                      <w:sz w:val="20"/>
                      <w:szCs w:val="20"/>
                      <w:lang w:bidi="ar"/>
                    </w:rPr>
                    <w:t>20210705</w:t>
                  </w:r>
                </w:p>
              </w:tc>
            </w:tr>
            <w:tr w:rsidR="003B1A1D" w:rsidRPr="00BC52B5" w14:paraId="5B2E5B91" w14:textId="77777777" w:rsidTr="00FF2003">
              <w:trPr>
                <w:gridAfter w:val="1"/>
                <w:wAfter w:w="11" w:type="dxa"/>
                <w:trHeight w:val="304"/>
              </w:trPr>
              <w:tc>
                <w:tcPr>
                  <w:tcW w:w="3175" w:type="dxa"/>
                  <w:tcBorders>
                    <w:top w:val="nil"/>
                    <w:left w:val="nil"/>
                    <w:bottom w:val="nil"/>
                    <w:right w:val="nil"/>
                  </w:tcBorders>
                  <w:shd w:val="clear" w:color="auto" w:fill="auto"/>
                  <w:noWrap/>
                  <w:tcMar>
                    <w:top w:w="10" w:type="dxa"/>
                    <w:left w:w="10" w:type="dxa"/>
                    <w:right w:w="10" w:type="dxa"/>
                  </w:tcMar>
                  <w:vAlign w:val="center"/>
                </w:tcPr>
                <w:p w14:paraId="6A6C6367" w14:textId="276C051B" w:rsidR="003B1A1D" w:rsidRPr="00BC52B5" w:rsidRDefault="00AD15B3" w:rsidP="003B1A1D">
                  <w:pPr>
                    <w:widowControl/>
                    <w:jc w:val="left"/>
                    <w:textAlignment w:val="center"/>
                    <w:rPr>
                      <w:rFonts w:cs="Times New Roman"/>
                      <w:color w:val="000000"/>
                      <w:kern w:val="0"/>
                      <w:sz w:val="20"/>
                      <w:szCs w:val="20"/>
                      <w:lang w:bidi="ar"/>
                    </w:rPr>
                  </w:pPr>
                  <w:r>
                    <w:rPr>
                      <w:rFonts w:cs="Times New Roman" w:hint="eastAsia"/>
                      <w:color w:val="000000"/>
                      <w:kern w:val="0"/>
                      <w:sz w:val="20"/>
                      <w:szCs w:val="20"/>
                      <w:lang w:bidi="ar"/>
                    </w:rPr>
                    <w:t>更新报告</w:t>
                  </w:r>
                  <w:r>
                    <w:rPr>
                      <w:rFonts w:cs="Times New Roman" w:hint="eastAsia"/>
                      <w:color w:val="000000"/>
                      <w:kern w:val="0"/>
                      <w:sz w:val="20"/>
                      <w:szCs w:val="20"/>
                      <w:lang w:bidi="ar"/>
                    </w:rPr>
                    <w:t>-20210806</w:t>
                  </w:r>
                </w:p>
              </w:tc>
            </w:tr>
            <w:tr w:rsidR="00A17139" w:rsidRPr="00BC52B5" w14:paraId="5048CB7B" w14:textId="77777777" w:rsidTr="00FF2003">
              <w:trPr>
                <w:gridAfter w:val="1"/>
                <w:wAfter w:w="11" w:type="dxa"/>
                <w:trHeight w:val="304"/>
              </w:trPr>
              <w:tc>
                <w:tcPr>
                  <w:tcW w:w="3175" w:type="dxa"/>
                  <w:tcBorders>
                    <w:top w:val="nil"/>
                    <w:left w:val="nil"/>
                    <w:bottom w:val="nil"/>
                    <w:right w:val="nil"/>
                  </w:tcBorders>
                  <w:shd w:val="clear" w:color="auto" w:fill="auto"/>
                  <w:noWrap/>
                  <w:tcMar>
                    <w:top w:w="10" w:type="dxa"/>
                    <w:left w:w="10" w:type="dxa"/>
                    <w:right w:w="10" w:type="dxa"/>
                  </w:tcMar>
                  <w:vAlign w:val="center"/>
                </w:tcPr>
                <w:p w14:paraId="124731A9" w14:textId="0FC08E88" w:rsidR="00A17139" w:rsidRPr="00A17139" w:rsidRDefault="00A17139" w:rsidP="00A17139">
                  <w:pPr>
                    <w:spacing w:line="300" w:lineRule="exact"/>
                    <w:rPr>
                      <w:rFonts w:cs="Times New Roman"/>
                      <w:color w:val="000080"/>
                      <w:kern w:val="0"/>
                      <w:sz w:val="20"/>
                      <w:szCs w:val="20"/>
                      <w:lang w:val="en-GB"/>
                    </w:rPr>
                  </w:pPr>
                  <w:r>
                    <w:rPr>
                      <w:rFonts w:cs="Times New Roman" w:hint="eastAsia"/>
                      <w:color w:val="000000"/>
                      <w:kern w:val="0"/>
                      <w:sz w:val="20"/>
                      <w:szCs w:val="20"/>
                      <w:lang w:bidi="ar"/>
                    </w:rPr>
                    <w:t>更新报告</w:t>
                  </w:r>
                  <w:r>
                    <w:rPr>
                      <w:rFonts w:cs="Times New Roman" w:hint="eastAsia"/>
                      <w:color w:val="000000"/>
                      <w:kern w:val="0"/>
                      <w:sz w:val="20"/>
                      <w:szCs w:val="20"/>
                      <w:lang w:bidi="ar"/>
                    </w:rPr>
                    <w:t>-2021</w:t>
                  </w:r>
                  <w:r>
                    <w:rPr>
                      <w:rFonts w:cs="Times New Roman"/>
                      <w:color w:val="000000"/>
                      <w:kern w:val="0"/>
                      <w:sz w:val="20"/>
                      <w:szCs w:val="20"/>
                      <w:lang w:bidi="ar"/>
                    </w:rPr>
                    <w:t>1230</w:t>
                  </w:r>
                </w:p>
              </w:tc>
            </w:tr>
            <w:tr w:rsidR="00A17139" w:rsidRPr="00BC52B5" w14:paraId="02DC8A2F" w14:textId="77777777" w:rsidTr="00FF2003">
              <w:trPr>
                <w:gridAfter w:val="1"/>
                <w:wAfter w:w="11" w:type="dxa"/>
                <w:trHeight w:val="304"/>
              </w:trPr>
              <w:tc>
                <w:tcPr>
                  <w:tcW w:w="3175" w:type="dxa"/>
                  <w:tcBorders>
                    <w:top w:val="nil"/>
                    <w:left w:val="nil"/>
                    <w:bottom w:val="nil"/>
                    <w:right w:val="nil"/>
                  </w:tcBorders>
                  <w:shd w:val="clear" w:color="auto" w:fill="auto"/>
                  <w:noWrap/>
                  <w:tcMar>
                    <w:top w:w="10" w:type="dxa"/>
                    <w:left w:w="10" w:type="dxa"/>
                    <w:right w:w="10" w:type="dxa"/>
                  </w:tcMar>
                  <w:vAlign w:val="center"/>
                </w:tcPr>
                <w:p w14:paraId="57FF93F9" w14:textId="697718E9" w:rsidR="00A17139" w:rsidRDefault="00A17139" w:rsidP="00A17139">
                  <w:pPr>
                    <w:spacing w:line="300" w:lineRule="exact"/>
                    <w:rPr>
                      <w:rFonts w:cs="Times New Roman"/>
                      <w:color w:val="000000"/>
                      <w:kern w:val="0"/>
                      <w:sz w:val="20"/>
                      <w:szCs w:val="20"/>
                      <w:lang w:bidi="ar"/>
                    </w:rPr>
                  </w:pPr>
                  <w:r>
                    <w:rPr>
                      <w:rFonts w:cs="Times New Roman" w:hint="eastAsia"/>
                      <w:color w:val="000000"/>
                      <w:kern w:val="0"/>
                      <w:sz w:val="20"/>
                      <w:szCs w:val="20"/>
                      <w:lang w:bidi="ar"/>
                    </w:rPr>
                    <w:t>更新报告</w:t>
                  </w:r>
                  <w:r>
                    <w:rPr>
                      <w:rFonts w:cs="Times New Roman" w:hint="eastAsia"/>
                      <w:color w:val="000000"/>
                      <w:kern w:val="0"/>
                      <w:sz w:val="20"/>
                      <w:szCs w:val="20"/>
                      <w:lang w:bidi="ar"/>
                    </w:rPr>
                    <w:t>-202</w:t>
                  </w:r>
                  <w:r>
                    <w:rPr>
                      <w:rFonts w:cs="Times New Roman"/>
                      <w:color w:val="000000"/>
                      <w:kern w:val="0"/>
                      <w:sz w:val="20"/>
                      <w:szCs w:val="20"/>
                      <w:lang w:bidi="ar"/>
                    </w:rPr>
                    <w:t>20304</w:t>
                  </w:r>
                </w:p>
              </w:tc>
            </w:tr>
          </w:tbl>
          <w:p w14:paraId="51140FE8" w14:textId="77777777" w:rsidR="00BC6CCE" w:rsidRDefault="00BC6CCE">
            <w:pPr>
              <w:spacing w:line="300" w:lineRule="exact"/>
              <w:rPr>
                <w:rFonts w:cs="Times New Roman"/>
                <w:color w:val="000080"/>
                <w:kern w:val="0"/>
                <w:sz w:val="20"/>
                <w:szCs w:val="20"/>
                <w:lang w:val="en-GB"/>
              </w:rPr>
            </w:pPr>
          </w:p>
          <w:p w14:paraId="09B309DB" w14:textId="77777777" w:rsidR="004664BF" w:rsidRDefault="004664BF">
            <w:pPr>
              <w:spacing w:line="300" w:lineRule="exact"/>
              <w:rPr>
                <w:rFonts w:cs="Times New Roman"/>
                <w:color w:val="000080"/>
                <w:kern w:val="0"/>
                <w:sz w:val="20"/>
                <w:szCs w:val="20"/>
                <w:lang w:val="en-GB"/>
              </w:rPr>
            </w:pPr>
          </w:p>
          <w:p w14:paraId="3F83C1D2" w14:textId="2B5BF3CB" w:rsidR="004664BF" w:rsidRDefault="004664BF">
            <w:pPr>
              <w:spacing w:line="300" w:lineRule="exact"/>
              <w:rPr>
                <w:rFonts w:cs="Times New Roman"/>
                <w:color w:val="000080"/>
                <w:kern w:val="0"/>
                <w:sz w:val="20"/>
                <w:szCs w:val="20"/>
                <w:lang w:val="en-GB"/>
              </w:rPr>
            </w:pPr>
          </w:p>
          <w:p w14:paraId="01A48CBD" w14:textId="77777777" w:rsidR="0094528D" w:rsidRPr="00BC52B5" w:rsidRDefault="0094528D">
            <w:pPr>
              <w:spacing w:line="300" w:lineRule="exact"/>
              <w:rPr>
                <w:rFonts w:cs="Times New Roman"/>
                <w:color w:val="000080"/>
                <w:kern w:val="0"/>
                <w:sz w:val="20"/>
                <w:szCs w:val="20"/>
                <w:lang w:val="en-GB"/>
              </w:rPr>
            </w:pPr>
          </w:p>
          <w:tbl>
            <w:tblPr>
              <w:tblW w:w="3183" w:type="dxa"/>
              <w:tblLayout w:type="fixed"/>
              <w:tblCellMar>
                <w:left w:w="0" w:type="dxa"/>
                <w:right w:w="0" w:type="dxa"/>
              </w:tblCellMar>
              <w:tblLook w:val="04A0" w:firstRow="1" w:lastRow="0" w:firstColumn="1" w:lastColumn="0" w:noHBand="0" w:noVBand="1"/>
            </w:tblPr>
            <w:tblGrid>
              <w:gridCol w:w="3183"/>
            </w:tblGrid>
            <w:tr w:rsidR="00BC6CCE" w:rsidRPr="00BC52B5" w14:paraId="2FD72737" w14:textId="77777777">
              <w:trPr>
                <w:trHeight w:val="301"/>
              </w:trPr>
              <w:tc>
                <w:tcPr>
                  <w:tcW w:w="3183" w:type="dxa"/>
                  <w:tcBorders>
                    <w:top w:val="nil"/>
                    <w:left w:val="nil"/>
                    <w:bottom w:val="nil"/>
                    <w:right w:val="nil"/>
                  </w:tcBorders>
                  <w:shd w:val="clear" w:color="auto" w:fill="auto"/>
                  <w:noWrap/>
                  <w:tcMar>
                    <w:top w:w="10" w:type="dxa"/>
                    <w:left w:w="10" w:type="dxa"/>
                    <w:right w:w="10" w:type="dxa"/>
                  </w:tcMar>
                  <w:vAlign w:val="center"/>
                </w:tcPr>
                <w:p w14:paraId="3CAF658A" w14:textId="5A59AAF0" w:rsidR="00BC6CCE" w:rsidRPr="00BC52B5" w:rsidRDefault="00CE2A3C">
                  <w:pPr>
                    <w:widowControl/>
                    <w:jc w:val="left"/>
                    <w:textAlignment w:val="center"/>
                    <w:rPr>
                      <w:rFonts w:cs="Times New Roman"/>
                      <w:b/>
                      <w:color w:val="1F497D"/>
                      <w:sz w:val="24"/>
                      <w:szCs w:val="24"/>
                    </w:rPr>
                  </w:pPr>
                  <w:r w:rsidRPr="00BC52B5">
                    <w:rPr>
                      <w:rFonts w:cs="Times New Roman" w:hint="eastAsia"/>
                      <w:b/>
                      <w:color w:val="004098"/>
                      <w:kern w:val="0"/>
                      <w:sz w:val="24"/>
                      <w:szCs w:val="24"/>
                      <w:lang w:bidi="ar"/>
                    </w:rPr>
                    <w:t>研究部</w:t>
                  </w:r>
                </w:p>
              </w:tc>
            </w:tr>
            <w:tr w:rsidR="00BC6CCE" w:rsidRPr="00BC52B5" w14:paraId="1277154B" w14:textId="77777777">
              <w:trPr>
                <w:trHeight w:val="296"/>
              </w:trPr>
              <w:tc>
                <w:tcPr>
                  <w:tcW w:w="3183" w:type="dxa"/>
                  <w:tcBorders>
                    <w:top w:val="nil"/>
                    <w:left w:val="nil"/>
                    <w:bottom w:val="nil"/>
                    <w:right w:val="nil"/>
                  </w:tcBorders>
                  <w:shd w:val="clear" w:color="auto" w:fill="auto"/>
                  <w:noWrap/>
                  <w:tcMar>
                    <w:top w:w="10" w:type="dxa"/>
                    <w:left w:w="10" w:type="dxa"/>
                    <w:right w:w="10" w:type="dxa"/>
                  </w:tcMar>
                  <w:vAlign w:val="center"/>
                </w:tcPr>
                <w:p w14:paraId="6C0838C7" w14:textId="3BDB3263" w:rsidR="00BC6CCE" w:rsidRPr="00BC52B5" w:rsidRDefault="00CE2A3C">
                  <w:pPr>
                    <w:widowControl/>
                    <w:jc w:val="left"/>
                    <w:textAlignment w:val="center"/>
                    <w:rPr>
                      <w:rFonts w:cs="Times New Roman"/>
                      <w:color w:val="000000"/>
                      <w:sz w:val="20"/>
                      <w:szCs w:val="20"/>
                    </w:rPr>
                  </w:pPr>
                  <w:r w:rsidRPr="00BC52B5">
                    <w:rPr>
                      <w:rFonts w:cs="Times New Roman" w:hint="eastAsia"/>
                      <w:color w:val="000000"/>
                      <w:kern w:val="0"/>
                      <w:sz w:val="20"/>
                      <w:szCs w:val="20"/>
                      <w:lang w:bidi="ar"/>
                    </w:rPr>
                    <w:t>姓名：杨义琼</w:t>
                  </w:r>
                </w:p>
              </w:tc>
            </w:tr>
            <w:tr w:rsidR="00BC6CCE" w:rsidRPr="00BC52B5" w14:paraId="17AE9E89" w14:textId="77777777">
              <w:trPr>
                <w:trHeight w:val="296"/>
              </w:trPr>
              <w:tc>
                <w:tcPr>
                  <w:tcW w:w="3183" w:type="dxa"/>
                  <w:tcBorders>
                    <w:top w:val="nil"/>
                    <w:left w:val="nil"/>
                    <w:bottom w:val="nil"/>
                    <w:right w:val="nil"/>
                  </w:tcBorders>
                  <w:shd w:val="clear" w:color="auto" w:fill="auto"/>
                  <w:noWrap/>
                  <w:tcMar>
                    <w:top w:w="10" w:type="dxa"/>
                    <w:left w:w="10" w:type="dxa"/>
                    <w:right w:w="10" w:type="dxa"/>
                  </w:tcMar>
                  <w:vAlign w:val="center"/>
                </w:tcPr>
                <w:p w14:paraId="7D78A068" w14:textId="5E763AD8" w:rsidR="00BC6CCE" w:rsidRPr="00BC52B5" w:rsidRDefault="00CE2A3C">
                  <w:pPr>
                    <w:widowControl/>
                    <w:jc w:val="left"/>
                    <w:textAlignment w:val="center"/>
                    <w:rPr>
                      <w:rFonts w:cs="Times New Roman"/>
                      <w:color w:val="000000"/>
                      <w:sz w:val="20"/>
                      <w:szCs w:val="20"/>
                    </w:rPr>
                  </w:pPr>
                  <w:r w:rsidRPr="00BC52B5">
                    <w:rPr>
                      <w:rFonts w:cs="Times New Roman"/>
                      <w:color w:val="000000"/>
                      <w:kern w:val="0"/>
                      <w:sz w:val="20"/>
                      <w:szCs w:val="20"/>
                      <w:lang w:bidi="ar"/>
                    </w:rPr>
                    <w:t>SFC</w:t>
                  </w:r>
                  <w:r w:rsidRPr="00BC52B5">
                    <w:rPr>
                      <w:rFonts w:cs="Times New Roman" w:hint="eastAsia"/>
                      <w:color w:val="000000"/>
                      <w:kern w:val="0"/>
                      <w:sz w:val="20"/>
                      <w:szCs w:val="20"/>
                      <w:lang w:bidi="ar"/>
                    </w:rPr>
                    <w:t>：</w:t>
                  </w:r>
                  <w:r w:rsidRPr="00BC52B5">
                    <w:rPr>
                      <w:rFonts w:cs="Times New Roman"/>
                      <w:color w:val="000000"/>
                      <w:kern w:val="0"/>
                      <w:sz w:val="20"/>
                      <w:szCs w:val="20"/>
                      <w:lang w:bidi="ar"/>
                    </w:rPr>
                    <w:t>AXU943</w:t>
                  </w:r>
                </w:p>
              </w:tc>
            </w:tr>
            <w:tr w:rsidR="00BC6CCE" w:rsidRPr="00BC52B5" w14:paraId="494EC3B2" w14:textId="77777777">
              <w:trPr>
                <w:trHeight w:val="281"/>
              </w:trPr>
              <w:tc>
                <w:tcPr>
                  <w:tcW w:w="3183" w:type="dxa"/>
                  <w:tcBorders>
                    <w:top w:val="nil"/>
                    <w:left w:val="nil"/>
                    <w:bottom w:val="nil"/>
                    <w:right w:val="nil"/>
                  </w:tcBorders>
                  <w:shd w:val="clear" w:color="auto" w:fill="auto"/>
                  <w:noWrap/>
                  <w:tcMar>
                    <w:top w:w="10" w:type="dxa"/>
                    <w:left w:w="10" w:type="dxa"/>
                    <w:right w:w="10" w:type="dxa"/>
                  </w:tcMar>
                  <w:vAlign w:val="center"/>
                </w:tcPr>
                <w:p w14:paraId="21049EDA" w14:textId="37F31EDE" w:rsidR="00BC6CCE" w:rsidRPr="00BC52B5" w:rsidRDefault="00CE2A3C">
                  <w:pPr>
                    <w:widowControl/>
                    <w:jc w:val="left"/>
                    <w:textAlignment w:val="center"/>
                    <w:rPr>
                      <w:rFonts w:cs="Times New Roman"/>
                      <w:color w:val="000000"/>
                      <w:sz w:val="20"/>
                      <w:szCs w:val="20"/>
                    </w:rPr>
                  </w:pPr>
                  <w:r w:rsidRPr="00BC52B5">
                    <w:rPr>
                      <w:rFonts w:cs="Times New Roman" w:hint="eastAsia"/>
                      <w:color w:val="000000"/>
                      <w:kern w:val="0"/>
                      <w:sz w:val="20"/>
                      <w:szCs w:val="20"/>
                      <w:lang w:bidi="ar"/>
                    </w:rPr>
                    <w:t>电话：</w:t>
                  </w:r>
                  <w:r w:rsidRPr="00BC52B5">
                    <w:rPr>
                      <w:rFonts w:cs="Times New Roman"/>
                      <w:color w:val="000000"/>
                      <w:kern w:val="0"/>
                      <w:sz w:val="20"/>
                      <w:szCs w:val="20"/>
                      <w:lang w:bidi="ar"/>
                    </w:rPr>
                    <w:t>0755-21516065</w:t>
                  </w:r>
                </w:p>
              </w:tc>
            </w:tr>
            <w:tr w:rsidR="00BC6CCE" w:rsidRPr="00BC52B5" w14:paraId="0AA09358" w14:textId="77777777">
              <w:trPr>
                <w:trHeight w:val="281"/>
              </w:trPr>
              <w:tc>
                <w:tcPr>
                  <w:tcW w:w="3183" w:type="dxa"/>
                  <w:tcBorders>
                    <w:top w:val="nil"/>
                    <w:left w:val="nil"/>
                    <w:bottom w:val="nil"/>
                    <w:right w:val="nil"/>
                  </w:tcBorders>
                  <w:shd w:val="clear" w:color="auto" w:fill="auto"/>
                  <w:noWrap/>
                  <w:tcMar>
                    <w:top w:w="10" w:type="dxa"/>
                    <w:left w:w="10" w:type="dxa"/>
                    <w:right w:w="10" w:type="dxa"/>
                  </w:tcMar>
                  <w:vAlign w:val="center"/>
                </w:tcPr>
                <w:p w14:paraId="6DB66DD6" w14:textId="7B6E055B" w:rsidR="00BC6CCE" w:rsidRPr="00BC52B5" w:rsidRDefault="00CE2A3C">
                  <w:pPr>
                    <w:widowControl/>
                    <w:jc w:val="left"/>
                    <w:textAlignment w:val="center"/>
                    <w:rPr>
                      <w:rFonts w:cs="Times New Roman"/>
                      <w:color w:val="000000"/>
                      <w:sz w:val="20"/>
                      <w:szCs w:val="20"/>
                    </w:rPr>
                  </w:pPr>
                  <w:proofErr w:type="gramStart"/>
                  <w:r w:rsidRPr="00BC52B5">
                    <w:rPr>
                      <w:rFonts w:cs="Times New Roman"/>
                      <w:color w:val="000000"/>
                      <w:kern w:val="0"/>
                      <w:sz w:val="20"/>
                      <w:szCs w:val="20"/>
                      <w:lang w:bidi="ar"/>
                    </w:rPr>
                    <w:t>Email:yangyq@gyzq.com.hk</w:t>
                  </w:r>
                  <w:proofErr w:type="gramEnd"/>
                </w:p>
              </w:tc>
            </w:tr>
          </w:tbl>
          <w:p w14:paraId="4D416053" w14:textId="77777777" w:rsidR="00BC6CCE" w:rsidRPr="00BC52B5" w:rsidRDefault="00BC6CCE">
            <w:pPr>
              <w:spacing w:line="300" w:lineRule="exact"/>
              <w:rPr>
                <w:rFonts w:cs="Times New Roman"/>
              </w:rPr>
            </w:pPr>
          </w:p>
        </w:tc>
        <w:tc>
          <w:tcPr>
            <w:tcW w:w="7000" w:type="dxa"/>
            <w:tcBorders>
              <w:top w:val="single" w:sz="12" w:space="0" w:color="4F81BD" w:themeColor="accent1"/>
              <w:left w:val="nil"/>
              <w:bottom w:val="nil"/>
              <w:right w:val="nil"/>
            </w:tcBorders>
            <w:shd w:val="clear" w:color="auto" w:fill="auto"/>
          </w:tcPr>
          <w:p w14:paraId="60192352" w14:textId="5BA2885A" w:rsidR="00BC6CCE" w:rsidRPr="00BC52B5" w:rsidRDefault="00CE2A3C">
            <w:pPr>
              <w:spacing w:afterLines="50" w:after="156"/>
              <w:rPr>
                <w:rFonts w:cs="Times New Roman"/>
                <w:b/>
                <w:color w:val="004098"/>
                <w:sz w:val="28"/>
                <w:szCs w:val="28"/>
              </w:rPr>
            </w:pPr>
            <w:r w:rsidRPr="00BC52B5">
              <w:rPr>
                <w:rFonts w:cs="Times New Roman" w:hint="eastAsia"/>
                <w:b/>
                <w:bCs/>
                <w:color w:val="004098"/>
                <w:sz w:val="28"/>
                <w:szCs w:val="28"/>
              </w:rPr>
              <w:t>投资要点</w:t>
            </w:r>
          </w:p>
          <w:p w14:paraId="3F6CF275" w14:textId="18C3DAD9" w:rsidR="00BC6CCE" w:rsidRPr="00BC52B5" w:rsidRDefault="000C6BFE" w:rsidP="00724EE2">
            <w:pPr>
              <w:numPr>
                <w:ilvl w:val="0"/>
                <w:numId w:val="1"/>
              </w:numPr>
              <w:spacing w:beforeLines="50" w:before="156" w:afterLines="50" w:after="156"/>
              <w:rPr>
                <w:rFonts w:cs="Times New Roman"/>
                <w:b/>
                <w:sz w:val="22"/>
              </w:rPr>
            </w:pPr>
            <w:r>
              <w:rPr>
                <w:rFonts w:cs="Times New Roman"/>
                <w:b/>
                <w:sz w:val="22"/>
              </w:rPr>
              <w:t>202</w:t>
            </w:r>
            <w:r w:rsidR="004B4F05">
              <w:rPr>
                <w:rFonts w:cs="Times New Roman"/>
                <w:b/>
                <w:sz w:val="22"/>
              </w:rPr>
              <w:t>2H1</w:t>
            </w:r>
            <w:r>
              <w:rPr>
                <w:rFonts w:cs="Times New Roman" w:hint="eastAsia"/>
                <w:b/>
                <w:sz w:val="22"/>
              </w:rPr>
              <w:t>盈利</w:t>
            </w:r>
            <w:r w:rsidR="002E5515">
              <w:rPr>
                <w:rFonts w:cs="Times New Roman" w:hint="eastAsia"/>
                <w:b/>
                <w:sz w:val="22"/>
              </w:rPr>
              <w:t>约</w:t>
            </w:r>
            <w:r w:rsidR="002E5515">
              <w:rPr>
                <w:rFonts w:cs="Times New Roman"/>
                <w:b/>
                <w:sz w:val="22"/>
              </w:rPr>
              <w:t>33.05</w:t>
            </w:r>
            <w:r>
              <w:rPr>
                <w:rFonts w:cs="Times New Roman" w:hint="eastAsia"/>
                <w:b/>
                <w:sz w:val="22"/>
              </w:rPr>
              <w:t>亿港元，同比</w:t>
            </w:r>
            <w:r w:rsidR="002E5515">
              <w:rPr>
                <w:rFonts w:cs="Times New Roman" w:hint="eastAsia"/>
                <w:b/>
                <w:sz w:val="22"/>
              </w:rPr>
              <w:t>下降</w:t>
            </w:r>
            <w:r w:rsidR="002E5515">
              <w:rPr>
                <w:rFonts w:cs="Times New Roman" w:hint="eastAsia"/>
                <w:b/>
                <w:sz w:val="22"/>
              </w:rPr>
              <w:t>3</w:t>
            </w:r>
            <w:r w:rsidR="002E5515">
              <w:rPr>
                <w:rFonts w:cs="Times New Roman"/>
                <w:b/>
                <w:sz w:val="22"/>
              </w:rPr>
              <w:t>8.5</w:t>
            </w:r>
            <w:r>
              <w:rPr>
                <w:rFonts w:cs="Times New Roman"/>
                <w:b/>
                <w:sz w:val="22"/>
              </w:rPr>
              <w:t>%</w:t>
            </w:r>
            <w:r w:rsidR="00CE2A3C" w:rsidRPr="00BC52B5">
              <w:rPr>
                <w:rFonts w:cs="Times New Roman" w:hint="eastAsia"/>
                <w:b/>
                <w:sz w:val="22"/>
              </w:rPr>
              <w:t>：</w:t>
            </w:r>
          </w:p>
          <w:p w14:paraId="19E54533" w14:textId="09FA9D0F" w:rsidR="000C6BFE" w:rsidRDefault="000C6BFE" w:rsidP="008A362D">
            <w:pPr>
              <w:spacing w:beforeLines="50" w:before="156" w:afterLines="50" w:after="156"/>
              <w:rPr>
                <w:sz w:val="22"/>
              </w:rPr>
            </w:pPr>
            <w:r>
              <w:rPr>
                <w:rFonts w:hint="eastAsia"/>
                <w:sz w:val="22"/>
              </w:rPr>
              <w:t>2</w:t>
            </w:r>
            <w:r>
              <w:rPr>
                <w:sz w:val="22"/>
              </w:rPr>
              <w:t>02</w:t>
            </w:r>
            <w:r w:rsidR="004B4F05">
              <w:rPr>
                <w:sz w:val="22"/>
              </w:rPr>
              <w:t>2H1</w:t>
            </w:r>
            <w:r w:rsidRPr="000C6BFE">
              <w:rPr>
                <w:rFonts w:hint="eastAsia"/>
                <w:sz w:val="22"/>
              </w:rPr>
              <w:t>公司</w:t>
            </w:r>
            <w:r w:rsidR="009E569C">
              <w:rPr>
                <w:rFonts w:hint="eastAsia"/>
                <w:sz w:val="22"/>
              </w:rPr>
              <w:t>实现收入</w:t>
            </w:r>
            <w:r w:rsidR="00490F73">
              <w:rPr>
                <w:sz w:val="22"/>
              </w:rPr>
              <w:t>136.49</w:t>
            </w:r>
            <w:r w:rsidRPr="000C6BFE">
              <w:rPr>
                <w:rFonts w:hint="eastAsia"/>
                <w:sz w:val="22"/>
              </w:rPr>
              <w:t>亿港元，同比增长</w:t>
            </w:r>
            <w:r w:rsidR="00490F73">
              <w:rPr>
                <w:sz w:val="22"/>
              </w:rPr>
              <w:t>0.5</w:t>
            </w:r>
            <w:r w:rsidRPr="000C6BFE">
              <w:rPr>
                <w:rFonts w:hint="eastAsia"/>
                <w:sz w:val="22"/>
              </w:rPr>
              <w:t>%</w:t>
            </w:r>
            <w:r w:rsidRPr="000C6BFE">
              <w:rPr>
                <w:rFonts w:hint="eastAsia"/>
                <w:sz w:val="22"/>
              </w:rPr>
              <w:t>；</w:t>
            </w:r>
            <w:r w:rsidR="009E569C">
              <w:rPr>
                <w:rFonts w:hint="eastAsia"/>
                <w:sz w:val="22"/>
              </w:rPr>
              <w:t>盈利</w:t>
            </w:r>
            <w:r w:rsidR="00490F73">
              <w:rPr>
                <w:rFonts w:hint="eastAsia"/>
                <w:sz w:val="22"/>
              </w:rPr>
              <w:t>约</w:t>
            </w:r>
            <w:r w:rsidR="00490F73">
              <w:rPr>
                <w:sz w:val="22"/>
              </w:rPr>
              <w:t>33.05</w:t>
            </w:r>
            <w:r w:rsidRPr="000C6BFE">
              <w:rPr>
                <w:rFonts w:hint="eastAsia"/>
                <w:sz w:val="22"/>
              </w:rPr>
              <w:t>亿港元，同比</w:t>
            </w:r>
            <w:r w:rsidR="00490F73">
              <w:rPr>
                <w:rFonts w:hint="eastAsia"/>
                <w:sz w:val="22"/>
              </w:rPr>
              <w:t>下降</w:t>
            </w:r>
            <w:r w:rsidR="00490F73">
              <w:rPr>
                <w:sz w:val="22"/>
              </w:rPr>
              <w:t>38.5</w:t>
            </w:r>
            <w:r w:rsidRPr="000C6BFE">
              <w:rPr>
                <w:rFonts w:hint="eastAsia"/>
                <w:sz w:val="22"/>
              </w:rPr>
              <w:t>%</w:t>
            </w:r>
            <w:r w:rsidRPr="000C6BFE">
              <w:rPr>
                <w:rFonts w:hint="eastAsia"/>
                <w:sz w:val="22"/>
              </w:rPr>
              <w:t>；每股基本盈利为</w:t>
            </w:r>
            <w:r w:rsidR="00490F73">
              <w:rPr>
                <w:sz w:val="22"/>
              </w:rPr>
              <w:t>82.1</w:t>
            </w:r>
            <w:r w:rsidRPr="000C6BFE">
              <w:rPr>
                <w:rFonts w:hint="eastAsia"/>
                <w:sz w:val="22"/>
              </w:rPr>
              <w:t>港仙，</w:t>
            </w:r>
            <w:r w:rsidR="00490F73">
              <w:rPr>
                <w:rFonts w:hint="eastAsia"/>
                <w:sz w:val="22"/>
              </w:rPr>
              <w:t>中期</w:t>
            </w:r>
            <w:r w:rsidRPr="000C6BFE">
              <w:rPr>
                <w:rFonts w:hint="eastAsia"/>
                <w:sz w:val="22"/>
              </w:rPr>
              <w:t>派息</w:t>
            </w:r>
            <w:r w:rsidR="00490F73">
              <w:rPr>
                <w:sz w:val="22"/>
              </w:rPr>
              <w:t>40</w:t>
            </w:r>
            <w:r w:rsidRPr="000C6BFE">
              <w:rPr>
                <w:rFonts w:hint="eastAsia"/>
                <w:sz w:val="22"/>
              </w:rPr>
              <w:t>港仙，派息率为</w:t>
            </w:r>
            <w:r w:rsidR="00F76393">
              <w:rPr>
                <w:sz w:val="22"/>
              </w:rPr>
              <w:t>48.8</w:t>
            </w:r>
            <w:r w:rsidRPr="000C6BFE">
              <w:rPr>
                <w:rFonts w:hint="eastAsia"/>
                <w:sz w:val="22"/>
              </w:rPr>
              <w:t>%</w:t>
            </w:r>
            <w:r w:rsidRPr="000C6BFE">
              <w:rPr>
                <w:rFonts w:hint="eastAsia"/>
                <w:sz w:val="22"/>
              </w:rPr>
              <w:t>。</w:t>
            </w:r>
            <w:r w:rsidR="00F76393">
              <w:rPr>
                <w:rFonts w:hint="eastAsia"/>
                <w:sz w:val="22"/>
              </w:rPr>
              <w:t>2</w:t>
            </w:r>
            <w:r w:rsidR="00F76393">
              <w:rPr>
                <w:sz w:val="22"/>
              </w:rPr>
              <w:t>022H1</w:t>
            </w:r>
            <w:r w:rsidR="00F76393">
              <w:rPr>
                <w:rFonts w:hint="eastAsia"/>
                <w:sz w:val="22"/>
              </w:rPr>
              <w:t>公司综合毛利率</w:t>
            </w:r>
            <w:r w:rsidR="00F76393">
              <w:rPr>
                <w:rFonts w:hint="eastAsia"/>
                <w:sz w:val="22"/>
              </w:rPr>
              <w:t>3</w:t>
            </w:r>
            <w:r w:rsidR="00F76393">
              <w:rPr>
                <w:sz w:val="22"/>
              </w:rPr>
              <w:t>8.4%</w:t>
            </w:r>
            <w:r w:rsidR="00F76393">
              <w:rPr>
                <w:rFonts w:hint="eastAsia"/>
                <w:sz w:val="22"/>
              </w:rPr>
              <w:t>，同比下降</w:t>
            </w:r>
            <w:r w:rsidR="00F76393">
              <w:rPr>
                <w:rFonts w:hint="eastAsia"/>
                <w:sz w:val="22"/>
              </w:rPr>
              <w:t>1</w:t>
            </w:r>
            <w:r w:rsidR="00F76393">
              <w:rPr>
                <w:sz w:val="22"/>
              </w:rPr>
              <w:t>4.6</w:t>
            </w:r>
            <w:r w:rsidR="00F76393">
              <w:rPr>
                <w:rFonts w:hint="eastAsia"/>
                <w:sz w:val="22"/>
              </w:rPr>
              <w:t>个百分点，其中浮法玻璃毛利率</w:t>
            </w:r>
            <w:r w:rsidR="00F76393">
              <w:rPr>
                <w:rFonts w:hint="eastAsia"/>
                <w:sz w:val="22"/>
              </w:rPr>
              <w:t>3</w:t>
            </w:r>
            <w:r w:rsidR="00F76393">
              <w:rPr>
                <w:sz w:val="22"/>
              </w:rPr>
              <w:t>4.3%</w:t>
            </w:r>
            <w:r w:rsidR="00F76393">
              <w:rPr>
                <w:rFonts w:hint="eastAsia"/>
                <w:sz w:val="22"/>
              </w:rPr>
              <w:t>（</w:t>
            </w:r>
            <w:r w:rsidR="00F76393">
              <w:rPr>
                <w:rFonts w:hint="eastAsia"/>
                <w:sz w:val="22"/>
              </w:rPr>
              <w:t>2</w:t>
            </w:r>
            <w:r w:rsidR="00F76393">
              <w:rPr>
                <w:sz w:val="22"/>
              </w:rPr>
              <w:t>021H1:55.3%</w:t>
            </w:r>
            <w:r w:rsidR="00F76393">
              <w:rPr>
                <w:rFonts w:hint="eastAsia"/>
                <w:sz w:val="22"/>
              </w:rPr>
              <w:t>）</w:t>
            </w:r>
            <w:r w:rsidR="002944FE">
              <w:rPr>
                <w:rFonts w:hint="eastAsia"/>
                <w:sz w:val="22"/>
              </w:rPr>
              <w:t>。毛利率下降主要因为国内房地产建筑浮法需求受压，同时能源及原材料成本上升所致。</w:t>
            </w:r>
            <w:r w:rsidR="008A362D" w:rsidRPr="008A362D">
              <w:rPr>
                <w:rFonts w:hint="eastAsia"/>
                <w:sz w:val="22"/>
              </w:rPr>
              <w:t>期内纯利率由</w:t>
            </w:r>
            <w:r w:rsidR="008A362D" w:rsidRPr="008A362D">
              <w:rPr>
                <w:sz w:val="22"/>
              </w:rPr>
              <w:t>39.6%</w:t>
            </w:r>
            <w:r w:rsidR="008A362D" w:rsidRPr="008A362D">
              <w:rPr>
                <w:rFonts w:hint="eastAsia"/>
                <w:sz w:val="22"/>
              </w:rPr>
              <w:t>下降至</w:t>
            </w:r>
            <w:r w:rsidR="008A362D" w:rsidRPr="008A362D">
              <w:rPr>
                <w:sz w:val="22"/>
              </w:rPr>
              <w:t>24.2%</w:t>
            </w:r>
            <w:r w:rsidR="008A362D" w:rsidRPr="008A362D">
              <w:rPr>
                <w:rFonts w:hint="eastAsia"/>
                <w:sz w:val="22"/>
              </w:rPr>
              <w:t>，主要由于浮法玻璃及建筑玻璃的毛利减少所致。</w:t>
            </w:r>
          </w:p>
          <w:p w14:paraId="3E4B9B84" w14:textId="29CDD60A" w:rsidR="006175E0" w:rsidRDefault="000969C4" w:rsidP="000C6BFE">
            <w:pPr>
              <w:numPr>
                <w:ilvl w:val="0"/>
                <w:numId w:val="1"/>
              </w:numPr>
              <w:spacing w:beforeLines="50" w:before="156" w:afterLines="50" w:after="156"/>
              <w:rPr>
                <w:rFonts w:cs="Times New Roman"/>
                <w:b/>
                <w:sz w:val="22"/>
              </w:rPr>
            </w:pPr>
            <w:r>
              <w:rPr>
                <w:rFonts w:cs="Times New Roman"/>
                <w:b/>
                <w:sz w:val="22"/>
              </w:rPr>
              <w:t>2022</w:t>
            </w:r>
            <w:r>
              <w:rPr>
                <w:rFonts w:cs="Times New Roman" w:hint="eastAsia"/>
                <w:b/>
                <w:sz w:val="22"/>
              </w:rPr>
              <w:t>Q</w:t>
            </w:r>
            <w:r>
              <w:rPr>
                <w:rFonts w:cs="Times New Roman"/>
                <w:b/>
                <w:sz w:val="22"/>
              </w:rPr>
              <w:t>3</w:t>
            </w:r>
            <w:r>
              <w:rPr>
                <w:rFonts w:cs="Times New Roman" w:hint="eastAsia"/>
                <w:b/>
                <w:sz w:val="22"/>
              </w:rPr>
              <w:t>冷修</w:t>
            </w:r>
            <w:r w:rsidR="007D3969">
              <w:rPr>
                <w:rFonts w:cs="Times New Roman" w:hint="eastAsia"/>
                <w:b/>
                <w:sz w:val="22"/>
              </w:rPr>
              <w:t>，</w:t>
            </w:r>
            <w:r>
              <w:rPr>
                <w:rFonts w:cs="Times New Roman" w:hint="eastAsia"/>
                <w:b/>
                <w:sz w:val="22"/>
              </w:rPr>
              <w:t>短期浮法玻璃价格</w:t>
            </w:r>
            <w:r w:rsidR="007D3969">
              <w:rPr>
                <w:rFonts w:cs="Times New Roman" w:hint="eastAsia"/>
                <w:b/>
                <w:sz w:val="22"/>
              </w:rPr>
              <w:t>下行有限</w:t>
            </w:r>
            <w:r w:rsidR="009C0CFC">
              <w:rPr>
                <w:rFonts w:cs="Times New Roman" w:hint="eastAsia"/>
                <w:b/>
                <w:sz w:val="22"/>
              </w:rPr>
              <w:t>，</w:t>
            </w:r>
            <w:r w:rsidR="009C0DE7">
              <w:rPr>
                <w:rFonts w:cs="Times New Roman" w:hint="eastAsia"/>
                <w:b/>
                <w:sz w:val="22"/>
              </w:rPr>
              <w:t>但</w:t>
            </w:r>
            <w:r w:rsidR="009C0CFC">
              <w:rPr>
                <w:rFonts w:cs="Times New Roman" w:hint="eastAsia"/>
                <w:b/>
                <w:sz w:val="22"/>
              </w:rPr>
              <w:t>周期反转尚待时日</w:t>
            </w:r>
            <w:r w:rsidR="00CE2A3C" w:rsidRPr="009E60FA">
              <w:rPr>
                <w:rFonts w:cs="Times New Roman" w:hint="eastAsia"/>
                <w:b/>
                <w:sz w:val="22"/>
              </w:rPr>
              <w:t>：</w:t>
            </w:r>
          </w:p>
          <w:p w14:paraId="49251464" w14:textId="4F179924" w:rsidR="00E20391" w:rsidRPr="007D3969" w:rsidRDefault="007D3969" w:rsidP="007D3969">
            <w:pPr>
              <w:spacing w:beforeLines="50" w:before="156" w:afterLines="50" w:after="156"/>
              <w:rPr>
                <w:sz w:val="22"/>
              </w:rPr>
            </w:pPr>
            <w:r w:rsidRPr="007D3969">
              <w:rPr>
                <w:rFonts w:hint="eastAsia"/>
                <w:sz w:val="22"/>
              </w:rPr>
              <w:t>受房地产需求，疫情影</w:t>
            </w:r>
            <w:r>
              <w:rPr>
                <w:rFonts w:hint="eastAsia"/>
                <w:sz w:val="22"/>
              </w:rPr>
              <w:t>响叠加</w:t>
            </w:r>
            <w:r w:rsidRPr="007D3969">
              <w:rPr>
                <w:rFonts w:hint="eastAsia"/>
                <w:sz w:val="22"/>
              </w:rPr>
              <w:t>能源及原材料成本上升，浮法玻璃</w:t>
            </w:r>
            <w:r>
              <w:rPr>
                <w:rFonts w:hint="eastAsia"/>
                <w:sz w:val="22"/>
              </w:rPr>
              <w:t>价格自</w:t>
            </w:r>
            <w:r w:rsidRPr="007D3969">
              <w:rPr>
                <w:rFonts w:hint="eastAsia"/>
                <w:sz w:val="22"/>
              </w:rPr>
              <w:t>2</w:t>
            </w:r>
            <w:r w:rsidRPr="007D3969">
              <w:rPr>
                <w:sz w:val="22"/>
              </w:rPr>
              <w:t>021Q2</w:t>
            </w:r>
            <w:r>
              <w:rPr>
                <w:rFonts w:hint="eastAsia"/>
                <w:sz w:val="22"/>
              </w:rPr>
              <w:t>开始从高位持续下降，行业进入盈利低谷，</w:t>
            </w:r>
            <w:r w:rsidR="0095781F">
              <w:rPr>
                <w:rFonts w:hint="eastAsia"/>
                <w:sz w:val="22"/>
              </w:rPr>
              <w:t>大面积亏损带来</w:t>
            </w:r>
            <w:r w:rsidR="0095781F">
              <w:rPr>
                <w:rFonts w:hint="eastAsia"/>
                <w:sz w:val="22"/>
              </w:rPr>
              <w:t>2</w:t>
            </w:r>
            <w:r w:rsidR="0095781F">
              <w:rPr>
                <w:sz w:val="22"/>
              </w:rPr>
              <w:t>022</w:t>
            </w:r>
            <w:r w:rsidR="0095781F">
              <w:rPr>
                <w:rFonts w:hint="eastAsia"/>
                <w:sz w:val="22"/>
              </w:rPr>
              <w:t>Q</w:t>
            </w:r>
            <w:r w:rsidR="0095781F">
              <w:rPr>
                <w:sz w:val="22"/>
              </w:rPr>
              <w:t>3</w:t>
            </w:r>
            <w:r w:rsidR="0095781F">
              <w:rPr>
                <w:rFonts w:hint="eastAsia"/>
                <w:sz w:val="22"/>
              </w:rPr>
              <w:t>冷修，供给减少消化库存，短期供需有望改善，浮法玻璃价格将得到一定程度支撑，再度下行空间有限，但价格走出低谷主要还取决于需求的改善</w:t>
            </w:r>
            <w:r w:rsidR="009C0CFC">
              <w:rPr>
                <w:rFonts w:hint="eastAsia"/>
                <w:sz w:val="22"/>
              </w:rPr>
              <w:t>。最新行业数据显示，</w:t>
            </w:r>
            <w:r w:rsidR="009C0CFC" w:rsidRPr="009C0CFC">
              <w:rPr>
                <w:rFonts w:hint="eastAsia"/>
                <w:sz w:val="22"/>
              </w:rPr>
              <w:t>全国浮法玻璃样本企业总库存</w:t>
            </w:r>
            <w:r w:rsidR="009C0CFC" w:rsidRPr="009C0CFC">
              <w:rPr>
                <w:rFonts w:hint="eastAsia"/>
                <w:sz w:val="22"/>
              </w:rPr>
              <w:t>8111.4</w:t>
            </w:r>
            <w:r w:rsidR="009C0CFC" w:rsidRPr="009C0CFC">
              <w:rPr>
                <w:rFonts w:hint="eastAsia"/>
                <w:sz w:val="22"/>
              </w:rPr>
              <w:t>万重箱，折库存天数</w:t>
            </w:r>
            <w:r w:rsidR="009C0CFC" w:rsidRPr="009C0CFC">
              <w:rPr>
                <w:rFonts w:hint="eastAsia"/>
                <w:sz w:val="22"/>
              </w:rPr>
              <w:t>40.4</w:t>
            </w:r>
            <w:r w:rsidR="009C0CFC" w:rsidRPr="009C0CFC">
              <w:rPr>
                <w:rFonts w:hint="eastAsia"/>
                <w:sz w:val="22"/>
              </w:rPr>
              <w:t>天，</w:t>
            </w:r>
            <w:r w:rsidR="009C0CFC">
              <w:rPr>
                <w:rFonts w:hint="eastAsia"/>
                <w:sz w:val="22"/>
              </w:rPr>
              <w:t>行业</w:t>
            </w:r>
            <w:r w:rsidR="004B4F05">
              <w:rPr>
                <w:rFonts w:hint="eastAsia"/>
                <w:sz w:val="22"/>
              </w:rPr>
              <w:t>周期反转尚待时日。</w:t>
            </w:r>
          </w:p>
          <w:p w14:paraId="2C951A7B" w14:textId="1BF8C6C6" w:rsidR="001A30E4" w:rsidRPr="006175E0" w:rsidRDefault="00AA5C7F" w:rsidP="00FE6AAA">
            <w:pPr>
              <w:numPr>
                <w:ilvl w:val="0"/>
                <w:numId w:val="1"/>
              </w:numPr>
              <w:spacing w:beforeLines="50" w:before="156" w:afterLines="50" w:after="156"/>
              <w:rPr>
                <w:rFonts w:cs="Times New Roman"/>
                <w:b/>
                <w:sz w:val="22"/>
              </w:rPr>
            </w:pPr>
            <w:r>
              <w:rPr>
                <w:rFonts w:hint="eastAsia"/>
                <w:b/>
                <w:bCs/>
                <w:sz w:val="22"/>
              </w:rPr>
              <w:t>浮法玻璃</w:t>
            </w:r>
            <w:r w:rsidR="002944FE">
              <w:rPr>
                <w:rFonts w:hint="eastAsia"/>
                <w:b/>
                <w:bCs/>
                <w:sz w:val="22"/>
              </w:rPr>
              <w:t>龙头规模效益</w:t>
            </w:r>
            <w:r>
              <w:rPr>
                <w:rFonts w:hint="eastAsia"/>
                <w:b/>
                <w:bCs/>
                <w:sz w:val="22"/>
              </w:rPr>
              <w:t>显著</w:t>
            </w:r>
            <w:r w:rsidR="00E65DF0">
              <w:rPr>
                <w:rFonts w:hint="eastAsia"/>
                <w:b/>
                <w:bCs/>
                <w:sz w:val="22"/>
              </w:rPr>
              <w:t>，</w:t>
            </w:r>
            <w:r w:rsidR="002944FE">
              <w:rPr>
                <w:rFonts w:hint="eastAsia"/>
                <w:b/>
                <w:bCs/>
                <w:sz w:val="22"/>
              </w:rPr>
              <w:t>深加工业务差异化竞争</w:t>
            </w:r>
            <w:r>
              <w:rPr>
                <w:rFonts w:hint="eastAsia"/>
                <w:b/>
                <w:bCs/>
                <w:sz w:val="22"/>
              </w:rPr>
              <w:t>优势明显</w:t>
            </w:r>
            <w:r w:rsidR="00CE2A3C" w:rsidRPr="009E60FA">
              <w:rPr>
                <w:rFonts w:cs="Times New Roman" w:hint="eastAsia"/>
                <w:b/>
                <w:sz w:val="22"/>
              </w:rPr>
              <w:t>：</w:t>
            </w:r>
          </w:p>
          <w:p w14:paraId="20927420" w14:textId="56BE8977" w:rsidR="00CC04FB" w:rsidRDefault="00EE6903" w:rsidP="00CC04FB">
            <w:pPr>
              <w:spacing w:beforeLines="50" w:before="156" w:afterLines="50" w:after="156"/>
              <w:rPr>
                <w:rFonts w:cs="Times New Roman"/>
                <w:sz w:val="22"/>
              </w:rPr>
            </w:pPr>
            <w:r>
              <w:rPr>
                <w:rFonts w:cs="Times New Roman" w:hint="eastAsia"/>
                <w:sz w:val="22"/>
              </w:rPr>
              <w:t>2</w:t>
            </w:r>
            <w:r>
              <w:rPr>
                <w:rFonts w:cs="Times New Roman"/>
                <w:sz w:val="22"/>
              </w:rPr>
              <w:t>022H1</w:t>
            </w:r>
            <w:r>
              <w:rPr>
                <w:rFonts w:cs="Times New Roman" w:hint="eastAsia"/>
                <w:sz w:val="22"/>
              </w:rPr>
              <w:t>在行业盈利周期低谷，公司</w:t>
            </w:r>
            <w:r w:rsidR="009B3137">
              <w:rPr>
                <w:rFonts w:cs="Times New Roman" w:hint="eastAsia"/>
                <w:sz w:val="22"/>
              </w:rPr>
              <w:t>规模成本控制能力，使得</w:t>
            </w:r>
            <w:r>
              <w:rPr>
                <w:rFonts w:cs="Times New Roman" w:hint="eastAsia"/>
                <w:sz w:val="22"/>
              </w:rPr>
              <w:t>浮法玻璃盈利显著领先行业。同时</w:t>
            </w:r>
            <w:r w:rsidR="00AA5C7F">
              <w:rPr>
                <w:rFonts w:cs="Times New Roman" w:hint="eastAsia"/>
                <w:sz w:val="22"/>
              </w:rPr>
              <w:t>深工业业务方面，</w:t>
            </w:r>
            <w:r>
              <w:rPr>
                <w:rFonts w:cs="Times New Roman" w:hint="eastAsia"/>
                <w:sz w:val="22"/>
              </w:rPr>
              <w:t>公司汽车玻璃表现</w:t>
            </w:r>
            <w:r w:rsidR="00AA5C7F">
              <w:rPr>
                <w:rFonts w:cs="Times New Roman" w:hint="eastAsia"/>
                <w:sz w:val="22"/>
              </w:rPr>
              <w:t>型业务</w:t>
            </w:r>
            <w:r>
              <w:rPr>
                <w:rFonts w:cs="Times New Roman" w:hint="eastAsia"/>
                <w:sz w:val="22"/>
              </w:rPr>
              <w:t>良好，</w:t>
            </w:r>
            <w:r w:rsidR="00AA5C7F">
              <w:rPr>
                <w:rFonts w:cs="Times New Roman" w:hint="eastAsia"/>
                <w:sz w:val="22"/>
              </w:rPr>
              <w:t>受益差异化竞争的产品结构，</w:t>
            </w:r>
            <w:r>
              <w:rPr>
                <w:rFonts w:cs="Times New Roman" w:hint="eastAsia"/>
                <w:sz w:val="22"/>
              </w:rPr>
              <w:t>收入</w:t>
            </w:r>
            <w:r w:rsidR="00AA5C7F">
              <w:rPr>
                <w:rFonts w:cs="Times New Roman" w:hint="eastAsia"/>
                <w:sz w:val="22"/>
              </w:rPr>
              <w:t>和毛利</w:t>
            </w:r>
            <w:r>
              <w:rPr>
                <w:rFonts w:cs="Times New Roman" w:hint="eastAsia"/>
                <w:sz w:val="22"/>
              </w:rPr>
              <w:t>分别同比增长</w:t>
            </w:r>
            <w:r>
              <w:rPr>
                <w:rFonts w:cs="Times New Roman" w:hint="eastAsia"/>
                <w:sz w:val="22"/>
              </w:rPr>
              <w:t>1</w:t>
            </w:r>
            <w:r>
              <w:rPr>
                <w:rFonts w:cs="Times New Roman"/>
                <w:sz w:val="22"/>
              </w:rPr>
              <w:t>4%</w:t>
            </w:r>
            <w:r>
              <w:rPr>
                <w:rFonts w:cs="Times New Roman" w:hint="eastAsia"/>
                <w:sz w:val="22"/>
              </w:rPr>
              <w:t>和</w:t>
            </w:r>
            <w:r w:rsidR="00AA5C7F">
              <w:rPr>
                <w:rFonts w:cs="Times New Roman"/>
                <w:sz w:val="22"/>
              </w:rPr>
              <w:t>17</w:t>
            </w:r>
            <w:r>
              <w:rPr>
                <w:rFonts w:cs="Times New Roman"/>
                <w:sz w:val="22"/>
              </w:rPr>
              <w:t>%</w:t>
            </w:r>
            <w:r>
              <w:rPr>
                <w:rFonts w:cs="Times New Roman" w:hint="eastAsia"/>
                <w:sz w:val="22"/>
              </w:rPr>
              <w:t>，毛利</w:t>
            </w:r>
            <w:r w:rsidR="00AA5C7F">
              <w:rPr>
                <w:rFonts w:cs="Times New Roman" w:hint="eastAsia"/>
                <w:sz w:val="22"/>
              </w:rPr>
              <w:t>率</w:t>
            </w:r>
            <w:r w:rsidR="00AA5C7F">
              <w:rPr>
                <w:rFonts w:cs="Times New Roman" w:hint="eastAsia"/>
                <w:sz w:val="22"/>
              </w:rPr>
              <w:t>5</w:t>
            </w:r>
            <w:r w:rsidR="00AA5C7F">
              <w:rPr>
                <w:rFonts w:cs="Times New Roman"/>
                <w:sz w:val="22"/>
              </w:rPr>
              <w:t>0.6%</w:t>
            </w:r>
            <w:r w:rsidR="00AA5C7F">
              <w:rPr>
                <w:rFonts w:cs="Times New Roman" w:hint="eastAsia"/>
                <w:sz w:val="22"/>
              </w:rPr>
              <w:t>（</w:t>
            </w:r>
            <w:r w:rsidR="00AA5C7F">
              <w:rPr>
                <w:rFonts w:cs="Times New Roman" w:hint="eastAsia"/>
                <w:sz w:val="22"/>
              </w:rPr>
              <w:t>2</w:t>
            </w:r>
            <w:r w:rsidR="00AA5C7F">
              <w:rPr>
                <w:rFonts w:cs="Times New Roman"/>
                <w:sz w:val="22"/>
              </w:rPr>
              <w:t>021H1:49.3%</w:t>
            </w:r>
            <w:r w:rsidR="00AA5C7F">
              <w:rPr>
                <w:rFonts w:cs="Times New Roman" w:hint="eastAsia"/>
                <w:sz w:val="22"/>
              </w:rPr>
              <w:t>）。</w:t>
            </w:r>
          </w:p>
          <w:p w14:paraId="1485C2F6" w14:textId="03026A3E" w:rsidR="00BC6CCE" w:rsidRPr="00C97EB5" w:rsidRDefault="00E04983" w:rsidP="00CC04FB">
            <w:pPr>
              <w:numPr>
                <w:ilvl w:val="0"/>
                <w:numId w:val="1"/>
              </w:numPr>
              <w:spacing w:beforeLines="50" w:before="156" w:afterLines="50" w:after="156"/>
              <w:rPr>
                <w:rFonts w:cs="Times New Roman"/>
                <w:sz w:val="22"/>
              </w:rPr>
            </w:pPr>
            <w:r>
              <w:rPr>
                <w:rFonts w:cs="Times New Roman" w:hint="eastAsia"/>
                <w:b/>
                <w:sz w:val="22"/>
              </w:rPr>
              <w:t>维持</w:t>
            </w:r>
            <w:r w:rsidR="00CE2A3C">
              <w:rPr>
                <w:rFonts w:cs="Times New Roman" w:hint="eastAsia"/>
                <w:b/>
                <w:sz w:val="22"/>
              </w:rPr>
              <w:t>买入</w:t>
            </w:r>
            <w:r w:rsidR="00CE2A3C" w:rsidRPr="00BC52B5">
              <w:rPr>
                <w:rFonts w:cs="Times New Roman" w:hint="eastAsia"/>
                <w:b/>
                <w:sz w:val="22"/>
              </w:rPr>
              <w:t>评级，</w:t>
            </w:r>
            <w:r>
              <w:rPr>
                <w:rFonts w:cs="Times New Roman" w:hint="eastAsia"/>
                <w:b/>
                <w:sz w:val="22"/>
              </w:rPr>
              <w:t>目标价</w:t>
            </w:r>
            <w:r w:rsidR="00BF297B">
              <w:rPr>
                <w:rFonts w:cs="Times New Roman"/>
                <w:b/>
                <w:sz w:val="22"/>
              </w:rPr>
              <w:t>2</w:t>
            </w:r>
            <w:r w:rsidR="00A17139">
              <w:rPr>
                <w:rFonts w:cs="Times New Roman"/>
                <w:b/>
                <w:sz w:val="22"/>
              </w:rPr>
              <w:t>1</w:t>
            </w:r>
            <w:r w:rsidR="00BF297B">
              <w:rPr>
                <w:rFonts w:cs="Times New Roman"/>
                <w:b/>
                <w:sz w:val="22"/>
              </w:rPr>
              <w:t>.</w:t>
            </w:r>
            <w:r w:rsidR="00A17139">
              <w:rPr>
                <w:rFonts w:cs="Times New Roman"/>
                <w:b/>
                <w:sz w:val="22"/>
              </w:rPr>
              <w:t>6</w:t>
            </w:r>
            <w:r w:rsidR="00CE2A3C" w:rsidRPr="00BC52B5">
              <w:rPr>
                <w:rFonts w:cs="Times New Roman" w:hint="eastAsia"/>
                <w:b/>
                <w:sz w:val="22"/>
              </w:rPr>
              <w:t>港元：</w:t>
            </w:r>
          </w:p>
          <w:p w14:paraId="6A95030C" w14:textId="6D2F37CE" w:rsidR="00BC6CCE" w:rsidRPr="00BC52B5" w:rsidRDefault="00CE2A3C" w:rsidP="00CC04FB">
            <w:pPr>
              <w:spacing w:beforeLines="50" w:before="156" w:afterLines="50" w:after="156"/>
              <w:rPr>
                <w:rFonts w:cs="Times New Roman"/>
                <w:sz w:val="22"/>
              </w:rPr>
            </w:pPr>
            <w:r w:rsidRPr="00BC52B5">
              <w:rPr>
                <w:rFonts w:cs="Times New Roman" w:hint="eastAsia"/>
                <w:sz w:val="22"/>
              </w:rPr>
              <w:t>我们</w:t>
            </w:r>
            <w:r w:rsidR="00BF297B">
              <w:rPr>
                <w:rFonts w:cs="Times New Roman" w:hint="eastAsia"/>
                <w:sz w:val="22"/>
              </w:rPr>
              <w:t>更新</w:t>
            </w:r>
            <w:r w:rsidR="003646F8">
              <w:rPr>
                <w:rFonts w:cs="Times New Roman" w:hint="eastAsia"/>
                <w:sz w:val="22"/>
              </w:rPr>
              <w:t>公司</w:t>
            </w:r>
            <w:r w:rsidR="00A17139">
              <w:rPr>
                <w:rFonts w:cs="Times New Roman" w:hint="eastAsia"/>
                <w:sz w:val="22"/>
              </w:rPr>
              <w:t>盈利预</w:t>
            </w:r>
            <w:r w:rsidR="003646F8">
              <w:rPr>
                <w:rFonts w:cs="Times New Roman" w:hint="eastAsia"/>
                <w:sz w:val="22"/>
              </w:rPr>
              <w:t>测</w:t>
            </w:r>
            <w:r w:rsidR="00A17139">
              <w:rPr>
                <w:rFonts w:cs="Times New Roman" w:hint="eastAsia"/>
                <w:sz w:val="22"/>
              </w:rPr>
              <w:t>，下调</w:t>
            </w:r>
            <w:r w:rsidRPr="00BC52B5">
              <w:rPr>
                <w:rFonts w:cs="Times New Roman" w:hint="eastAsia"/>
                <w:sz w:val="22"/>
              </w:rPr>
              <w:t>目标价</w:t>
            </w:r>
            <w:r>
              <w:rPr>
                <w:rFonts w:cs="Times New Roman" w:hint="eastAsia"/>
                <w:sz w:val="22"/>
              </w:rPr>
              <w:t>至</w:t>
            </w:r>
            <w:r w:rsidR="00861238">
              <w:rPr>
                <w:rFonts w:cs="Times New Roman"/>
                <w:sz w:val="22"/>
              </w:rPr>
              <w:t>2</w:t>
            </w:r>
            <w:r w:rsidR="00A17139">
              <w:rPr>
                <w:rFonts w:cs="Times New Roman"/>
                <w:sz w:val="22"/>
              </w:rPr>
              <w:t>1</w:t>
            </w:r>
            <w:r w:rsidR="00FE74CC">
              <w:rPr>
                <w:rFonts w:cs="Times New Roman"/>
                <w:sz w:val="22"/>
              </w:rPr>
              <w:t>.</w:t>
            </w:r>
            <w:r w:rsidR="00A17139">
              <w:rPr>
                <w:rFonts w:cs="Times New Roman"/>
                <w:sz w:val="22"/>
              </w:rPr>
              <w:t>6</w:t>
            </w:r>
            <w:r w:rsidRPr="00BC52B5">
              <w:rPr>
                <w:rFonts w:cs="Times New Roman" w:hint="eastAsia"/>
                <w:sz w:val="22"/>
              </w:rPr>
              <w:t>港元，相当于</w:t>
            </w:r>
            <w:r w:rsidRPr="00BC52B5">
              <w:rPr>
                <w:rFonts w:cs="Times New Roman"/>
                <w:sz w:val="22"/>
              </w:rPr>
              <w:t>202</w:t>
            </w:r>
            <w:r w:rsidR="0092072C">
              <w:rPr>
                <w:rFonts w:cs="Times New Roman"/>
                <w:sz w:val="22"/>
              </w:rPr>
              <w:t>2</w:t>
            </w:r>
            <w:r w:rsidRPr="00BC52B5">
              <w:rPr>
                <w:rFonts w:cs="Times New Roman" w:hint="eastAsia"/>
                <w:sz w:val="22"/>
              </w:rPr>
              <w:t>年和</w:t>
            </w:r>
            <w:r w:rsidRPr="00BC52B5">
              <w:rPr>
                <w:rFonts w:cs="Times New Roman"/>
                <w:sz w:val="22"/>
              </w:rPr>
              <w:t>202</w:t>
            </w:r>
            <w:r w:rsidR="0092072C">
              <w:rPr>
                <w:rFonts w:cs="Times New Roman"/>
                <w:sz w:val="22"/>
              </w:rPr>
              <w:t>3</w:t>
            </w:r>
            <w:r w:rsidRPr="00BC52B5">
              <w:rPr>
                <w:rFonts w:cs="Times New Roman" w:hint="eastAsia"/>
                <w:sz w:val="22"/>
              </w:rPr>
              <w:t>年</w:t>
            </w:r>
            <w:r w:rsidR="00A17139">
              <w:rPr>
                <w:rFonts w:cs="Times New Roman"/>
                <w:sz w:val="22"/>
              </w:rPr>
              <w:t>12</w:t>
            </w:r>
            <w:r w:rsidR="00433DFD">
              <w:rPr>
                <w:rFonts w:cs="Times New Roman"/>
                <w:sz w:val="22"/>
              </w:rPr>
              <w:t>倍和</w:t>
            </w:r>
            <w:r w:rsidR="00433DFD">
              <w:rPr>
                <w:rFonts w:cs="Times New Roman"/>
                <w:sz w:val="22"/>
              </w:rPr>
              <w:t>8.</w:t>
            </w:r>
            <w:r w:rsidR="00A17139">
              <w:rPr>
                <w:rFonts w:cs="Times New Roman"/>
                <w:sz w:val="22"/>
              </w:rPr>
              <w:t>7</w:t>
            </w:r>
            <w:r w:rsidR="00433DFD">
              <w:rPr>
                <w:rFonts w:cs="Times New Roman"/>
                <w:sz w:val="22"/>
              </w:rPr>
              <w:t>倍</w:t>
            </w:r>
            <w:r w:rsidR="00433DFD">
              <w:rPr>
                <w:rFonts w:cs="Times New Roman"/>
                <w:sz w:val="22"/>
              </w:rPr>
              <w:t>PE</w:t>
            </w:r>
            <w:r>
              <w:rPr>
                <w:rFonts w:cs="Times New Roman" w:hint="eastAsia"/>
                <w:sz w:val="22"/>
              </w:rPr>
              <w:t>，</w:t>
            </w:r>
            <w:r w:rsidRPr="00BC52B5">
              <w:rPr>
                <w:rFonts w:cs="Times New Roman" w:hint="eastAsia"/>
                <w:sz w:val="22"/>
              </w:rPr>
              <w:t>目标价较现价有</w:t>
            </w:r>
            <w:r w:rsidR="00C733C2">
              <w:rPr>
                <w:rFonts w:cs="Times New Roman"/>
                <w:sz w:val="22"/>
              </w:rPr>
              <w:t>4</w:t>
            </w:r>
            <w:r w:rsidR="00A17139">
              <w:rPr>
                <w:rFonts w:cs="Times New Roman"/>
                <w:sz w:val="22"/>
              </w:rPr>
              <w:t>2</w:t>
            </w:r>
            <w:r w:rsidR="00861238">
              <w:rPr>
                <w:rFonts w:cs="Times New Roman"/>
                <w:sz w:val="22"/>
              </w:rPr>
              <w:t>%</w:t>
            </w:r>
            <w:r>
              <w:rPr>
                <w:rFonts w:cs="Times New Roman" w:hint="eastAsia"/>
                <w:sz w:val="22"/>
              </w:rPr>
              <w:t>上升空间，</w:t>
            </w:r>
            <w:r w:rsidR="00E04983">
              <w:rPr>
                <w:rFonts w:cs="Times New Roman" w:hint="eastAsia"/>
                <w:sz w:val="22"/>
              </w:rPr>
              <w:t>维持</w:t>
            </w:r>
            <w:r>
              <w:rPr>
                <w:rFonts w:cs="Times New Roman" w:hint="eastAsia"/>
                <w:sz w:val="22"/>
              </w:rPr>
              <w:t>买入</w:t>
            </w:r>
            <w:r w:rsidRPr="00BC52B5">
              <w:rPr>
                <w:rFonts w:cs="Times New Roman" w:hint="eastAsia"/>
                <w:sz w:val="22"/>
              </w:rPr>
              <w:t>评级。</w:t>
            </w:r>
          </w:p>
          <w:tbl>
            <w:tblPr>
              <w:tblW w:w="6877" w:type="dxa"/>
              <w:tblLayout w:type="fixed"/>
              <w:tblLook w:val="04A0" w:firstRow="1" w:lastRow="0" w:firstColumn="1" w:lastColumn="0" w:noHBand="0" w:noVBand="1"/>
            </w:tblPr>
            <w:tblGrid>
              <w:gridCol w:w="2020"/>
              <w:gridCol w:w="971"/>
              <w:gridCol w:w="972"/>
              <w:gridCol w:w="971"/>
              <w:gridCol w:w="972"/>
              <w:gridCol w:w="971"/>
            </w:tblGrid>
            <w:tr w:rsidR="00BC6CCE" w:rsidRPr="00BC52B5" w14:paraId="22C8305D" w14:textId="77777777" w:rsidTr="005817E4">
              <w:trPr>
                <w:trHeight w:val="260"/>
              </w:trPr>
              <w:tc>
                <w:tcPr>
                  <w:tcW w:w="2020" w:type="dxa"/>
                  <w:tcBorders>
                    <w:top w:val="single" w:sz="8" w:space="0" w:color="000000" w:themeColor="text1"/>
                    <w:left w:val="nil"/>
                    <w:bottom w:val="single" w:sz="8" w:space="0" w:color="000000" w:themeColor="text1"/>
                    <w:right w:val="nil"/>
                  </w:tcBorders>
                  <w:shd w:val="clear" w:color="000000" w:fill="FFFFFF"/>
                  <w:noWrap/>
                  <w:vAlign w:val="bottom"/>
                </w:tcPr>
                <w:p w14:paraId="71A2DF96" w14:textId="3A288B86" w:rsidR="00BC6CCE" w:rsidRPr="00757B51" w:rsidRDefault="00CE2A3C" w:rsidP="006A62A6">
                  <w:pPr>
                    <w:rPr>
                      <w:rFonts w:cs="Times New Roman"/>
                      <w:b/>
                      <w:bCs/>
                      <w:color w:val="000000" w:themeColor="text1"/>
                      <w:sz w:val="20"/>
                      <w:szCs w:val="20"/>
                    </w:rPr>
                  </w:pPr>
                  <w:r>
                    <w:rPr>
                      <w:rFonts w:cs="Times New Roman" w:hint="eastAsia"/>
                      <w:b/>
                      <w:bCs/>
                      <w:color w:val="000000" w:themeColor="text1"/>
                      <w:sz w:val="20"/>
                      <w:szCs w:val="20"/>
                    </w:rPr>
                    <w:t>百万港元</w:t>
                  </w:r>
                </w:p>
              </w:tc>
              <w:tc>
                <w:tcPr>
                  <w:tcW w:w="971" w:type="dxa"/>
                  <w:tcBorders>
                    <w:top w:val="single" w:sz="8" w:space="0" w:color="000000" w:themeColor="text1"/>
                    <w:left w:val="nil"/>
                    <w:bottom w:val="single" w:sz="8" w:space="0" w:color="000000" w:themeColor="text1"/>
                    <w:right w:val="nil"/>
                  </w:tcBorders>
                  <w:shd w:val="clear" w:color="000000" w:fill="FFFFFF"/>
                  <w:noWrap/>
                  <w:vAlign w:val="center"/>
                </w:tcPr>
                <w:p w14:paraId="106883D8" w14:textId="594D2C8D" w:rsidR="00BC6CCE" w:rsidRPr="00757B51" w:rsidRDefault="00CE2A3C" w:rsidP="00A60BBB">
                  <w:pPr>
                    <w:jc w:val="center"/>
                    <w:rPr>
                      <w:rFonts w:cs="Times New Roman"/>
                      <w:b/>
                      <w:bCs/>
                      <w:color w:val="000000" w:themeColor="text1"/>
                      <w:sz w:val="20"/>
                      <w:szCs w:val="20"/>
                    </w:rPr>
                  </w:pPr>
                  <w:r w:rsidRPr="00757B51">
                    <w:rPr>
                      <w:rFonts w:cs="Times New Roman"/>
                      <w:b/>
                      <w:bCs/>
                      <w:color w:val="000000" w:themeColor="text1"/>
                      <w:sz w:val="20"/>
                      <w:szCs w:val="20"/>
                    </w:rPr>
                    <w:t>20</w:t>
                  </w:r>
                  <w:r w:rsidR="00A17139">
                    <w:rPr>
                      <w:rFonts w:cs="Times New Roman"/>
                      <w:b/>
                      <w:bCs/>
                      <w:color w:val="000000" w:themeColor="text1"/>
                      <w:sz w:val="20"/>
                      <w:szCs w:val="20"/>
                    </w:rPr>
                    <w:t>20</w:t>
                  </w:r>
                  <w:r w:rsidRPr="00757B51">
                    <w:rPr>
                      <w:rFonts w:cs="Times New Roman"/>
                      <w:b/>
                      <w:bCs/>
                      <w:color w:val="000000" w:themeColor="text1"/>
                      <w:sz w:val="20"/>
                      <w:szCs w:val="20"/>
                    </w:rPr>
                    <w:t>A</w:t>
                  </w:r>
                </w:p>
              </w:tc>
              <w:tc>
                <w:tcPr>
                  <w:tcW w:w="972" w:type="dxa"/>
                  <w:tcBorders>
                    <w:top w:val="single" w:sz="8" w:space="0" w:color="000000" w:themeColor="text1"/>
                    <w:left w:val="nil"/>
                    <w:bottom w:val="single" w:sz="8" w:space="0" w:color="000000" w:themeColor="text1"/>
                    <w:right w:val="nil"/>
                  </w:tcBorders>
                  <w:shd w:val="clear" w:color="000000" w:fill="FFFFFF"/>
                  <w:noWrap/>
                  <w:vAlign w:val="center"/>
                </w:tcPr>
                <w:p w14:paraId="14969CCF" w14:textId="6BC2DDBC" w:rsidR="00BC6CCE" w:rsidRPr="00757B51" w:rsidRDefault="00CE2A3C" w:rsidP="00A60BBB">
                  <w:pPr>
                    <w:jc w:val="center"/>
                    <w:rPr>
                      <w:rFonts w:cs="Times New Roman"/>
                      <w:b/>
                      <w:bCs/>
                      <w:color w:val="000000" w:themeColor="text1"/>
                      <w:sz w:val="20"/>
                      <w:szCs w:val="20"/>
                    </w:rPr>
                  </w:pPr>
                  <w:r>
                    <w:rPr>
                      <w:rFonts w:cs="Times New Roman"/>
                      <w:b/>
                      <w:bCs/>
                      <w:color w:val="000000" w:themeColor="text1"/>
                      <w:sz w:val="20"/>
                      <w:szCs w:val="20"/>
                    </w:rPr>
                    <w:t>202</w:t>
                  </w:r>
                  <w:r w:rsidR="00A17139">
                    <w:rPr>
                      <w:rFonts w:cs="Times New Roman"/>
                      <w:b/>
                      <w:bCs/>
                      <w:color w:val="000000" w:themeColor="text1"/>
                      <w:sz w:val="20"/>
                      <w:szCs w:val="20"/>
                    </w:rPr>
                    <w:t>1</w:t>
                  </w:r>
                  <w:r w:rsidRPr="00757B51">
                    <w:rPr>
                      <w:rFonts w:cs="Times New Roman"/>
                      <w:b/>
                      <w:bCs/>
                      <w:color w:val="000000" w:themeColor="text1"/>
                      <w:sz w:val="20"/>
                      <w:szCs w:val="20"/>
                    </w:rPr>
                    <w:t>A</w:t>
                  </w:r>
                </w:p>
              </w:tc>
              <w:tc>
                <w:tcPr>
                  <w:tcW w:w="971" w:type="dxa"/>
                  <w:tcBorders>
                    <w:top w:val="single" w:sz="8" w:space="0" w:color="000000" w:themeColor="text1"/>
                    <w:left w:val="nil"/>
                    <w:bottom w:val="single" w:sz="8" w:space="0" w:color="000000" w:themeColor="text1"/>
                    <w:right w:val="nil"/>
                  </w:tcBorders>
                  <w:shd w:val="clear" w:color="000000" w:fill="FFFFFF"/>
                  <w:noWrap/>
                  <w:vAlign w:val="center"/>
                </w:tcPr>
                <w:p w14:paraId="710A7289" w14:textId="6DF158CF" w:rsidR="00BC6CCE" w:rsidRPr="00757B51" w:rsidRDefault="00CE2A3C">
                  <w:pPr>
                    <w:jc w:val="center"/>
                    <w:rPr>
                      <w:rFonts w:cs="Times New Roman"/>
                      <w:b/>
                      <w:bCs/>
                      <w:color w:val="000000" w:themeColor="text1"/>
                      <w:sz w:val="20"/>
                      <w:szCs w:val="20"/>
                    </w:rPr>
                  </w:pPr>
                  <w:r>
                    <w:rPr>
                      <w:rFonts w:cs="Times New Roman"/>
                      <w:b/>
                      <w:bCs/>
                      <w:color w:val="000000" w:themeColor="text1"/>
                      <w:sz w:val="20"/>
                      <w:szCs w:val="20"/>
                    </w:rPr>
                    <w:t>202</w:t>
                  </w:r>
                  <w:r w:rsidR="00A17139">
                    <w:rPr>
                      <w:rFonts w:cs="Times New Roman"/>
                      <w:b/>
                      <w:bCs/>
                      <w:color w:val="000000" w:themeColor="text1"/>
                      <w:sz w:val="20"/>
                      <w:szCs w:val="20"/>
                    </w:rPr>
                    <w:t>2</w:t>
                  </w:r>
                  <w:r w:rsidRPr="00757B51">
                    <w:rPr>
                      <w:rFonts w:cs="Times New Roman"/>
                      <w:b/>
                      <w:bCs/>
                      <w:color w:val="000000" w:themeColor="text1"/>
                      <w:sz w:val="20"/>
                      <w:szCs w:val="20"/>
                    </w:rPr>
                    <w:t>E</w:t>
                  </w:r>
                </w:p>
              </w:tc>
              <w:tc>
                <w:tcPr>
                  <w:tcW w:w="972" w:type="dxa"/>
                  <w:tcBorders>
                    <w:top w:val="single" w:sz="8" w:space="0" w:color="000000" w:themeColor="text1"/>
                    <w:left w:val="nil"/>
                    <w:bottom w:val="single" w:sz="8" w:space="0" w:color="000000" w:themeColor="text1"/>
                    <w:right w:val="nil"/>
                  </w:tcBorders>
                  <w:shd w:val="clear" w:color="000000" w:fill="FFFFFF"/>
                  <w:noWrap/>
                  <w:vAlign w:val="center"/>
                </w:tcPr>
                <w:p w14:paraId="38D8DA98" w14:textId="28F56545" w:rsidR="00BC6CCE" w:rsidRPr="00757B51" w:rsidRDefault="00CE2A3C">
                  <w:pPr>
                    <w:jc w:val="center"/>
                    <w:rPr>
                      <w:rFonts w:cs="Times New Roman"/>
                      <w:b/>
                      <w:bCs/>
                      <w:color w:val="000000" w:themeColor="text1"/>
                      <w:sz w:val="20"/>
                      <w:szCs w:val="20"/>
                    </w:rPr>
                  </w:pPr>
                  <w:r>
                    <w:rPr>
                      <w:rFonts w:cs="Times New Roman"/>
                      <w:b/>
                      <w:bCs/>
                      <w:color w:val="000000" w:themeColor="text1"/>
                      <w:sz w:val="20"/>
                      <w:szCs w:val="20"/>
                    </w:rPr>
                    <w:t>202</w:t>
                  </w:r>
                  <w:r w:rsidR="00A17139">
                    <w:rPr>
                      <w:rFonts w:cs="Times New Roman"/>
                      <w:b/>
                      <w:bCs/>
                      <w:color w:val="000000" w:themeColor="text1"/>
                      <w:sz w:val="20"/>
                      <w:szCs w:val="20"/>
                    </w:rPr>
                    <w:t>3</w:t>
                  </w:r>
                  <w:r w:rsidRPr="00757B51">
                    <w:rPr>
                      <w:rFonts w:cs="Times New Roman"/>
                      <w:b/>
                      <w:bCs/>
                      <w:color w:val="000000" w:themeColor="text1"/>
                      <w:sz w:val="20"/>
                      <w:szCs w:val="20"/>
                    </w:rPr>
                    <w:t>E</w:t>
                  </w:r>
                </w:p>
              </w:tc>
              <w:tc>
                <w:tcPr>
                  <w:tcW w:w="971" w:type="dxa"/>
                  <w:tcBorders>
                    <w:top w:val="single" w:sz="8" w:space="0" w:color="000000" w:themeColor="text1"/>
                    <w:left w:val="nil"/>
                    <w:bottom w:val="single" w:sz="8" w:space="0" w:color="000000" w:themeColor="text1"/>
                    <w:right w:val="nil"/>
                  </w:tcBorders>
                  <w:shd w:val="clear" w:color="000000" w:fill="FFFFFF"/>
                  <w:noWrap/>
                  <w:vAlign w:val="center"/>
                </w:tcPr>
                <w:p w14:paraId="7246D78D" w14:textId="11D70005" w:rsidR="00BC6CCE" w:rsidRPr="00757B51" w:rsidRDefault="00CE2A3C" w:rsidP="00A60BBB">
                  <w:pPr>
                    <w:jc w:val="center"/>
                    <w:rPr>
                      <w:rFonts w:cs="Times New Roman"/>
                      <w:b/>
                      <w:bCs/>
                      <w:color w:val="000000" w:themeColor="text1"/>
                      <w:sz w:val="20"/>
                      <w:szCs w:val="20"/>
                    </w:rPr>
                  </w:pPr>
                  <w:r w:rsidRPr="00757B51">
                    <w:rPr>
                      <w:rFonts w:cs="Times New Roman"/>
                      <w:b/>
                      <w:bCs/>
                      <w:color w:val="000000" w:themeColor="text1"/>
                      <w:sz w:val="20"/>
                      <w:szCs w:val="20"/>
                    </w:rPr>
                    <w:t>202</w:t>
                  </w:r>
                  <w:r w:rsidR="00A17139">
                    <w:rPr>
                      <w:rFonts w:cs="Times New Roman"/>
                      <w:b/>
                      <w:bCs/>
                      <w:color w:val="000000" w:themeColor="text1"/>
                      <w:sz w:val="20"/>
                      <w:szCs w:val="20"/>
                    </w:rPr>
                    <w:t>4</w:t>
                  </w:r>
                  <w:r w:rsidRPr="00757B51">
                    <w:rPr>
                      <w:rFonts w:cs="Times New Roman"/>
                      <w:b/>
                      <w:bCs/>
                      <w:color w:val="000000" w:themeColor="text1"/>
                      <w:sz w:val="20"/>
                      <w:szCs w:val="20"/>
                    </w:rPr>
                    <w:t>E</w:t>
                  </w:r>
                </w:p>
              </w:tc>
            </w:tr>
            <w:tr w:rsidR="00A17139" w:rsidRPr="00BC52B5" w14:paraId="791513A4" w14:textId="77777777" w:rsidTr="0078289F">
              <w:trPr>
                <w:trHeight w:val="260"/>
              </w:trPr>
              <w:tc>
                <w:tcPr>
                  <w:tcW w:w="2020" w:type="dxa"/>
                  <w:tcBorders>
                    <w:top w:val="single" w:sz="8" w:space="0" w:color="000000" w:themeColor="text1"/>
                    <w:left w:val="nil"/>
                    <w:bottom w:val="nil"/>
                    <w:right w:val="nil"/>
                  </w:tcBorders>
                  <w:shd w:val="clear" w:color="000000" w:fill="FFFFFF"/>
                  <w:noWrap/>
                </w:tcPr>
                <w:p w14:paraId="74F4283D" w14:textId="0686D6BC" w:rsidR="00A17139" w:rsidRPr="00975D67" w:rsidRDefault="00A17139" w:rsidP="00A17139">
                  <w:pPr>
                    <w:rPr>
                      <w:rFonts w:cs="Times New Roman"/>
                      <w:b/>
                      <w:bCs/>
                      <w:color w:val="000000" w:themeColor="text1"/>
                      <w:sz w:val="20"/>
                      <w:szCs w:val="20"/>
                    </w:rPr>
                  </w:pPr>
                  <w:r w:rsidRPr="00975D67">
                    <w:rPr>
                      <w:rFonts w:hint="eastAsia"/>
                      <w:sz w:val="20"/>
                      <w:szCs w:val="20"/>
                    </w:rPr>
                    <w:t>营业额</w:t>
                  </w:r>
                </w:p>
              </w:tc>
              <w:tc>
                <w:tcPr>
                  <w:tcW w:w="971" w:type="dxa"/>
                  <w:tcBorders>
                    <w:top w:val="single" w:sz="8" w:space="0" w:color="000000" w:themeColor="text1"/>
                    <w:left w:val="nil"/>
                    <w:bottom w:val="nil"/>
                    <w:right w:val="nil"/>
                  </w:tcBorders>
                  <w:shd w:val="clear" w:color="000000" w:fill="FFFFFF"/>
                  <w:noWrap/>
                </w:tcPr>
                <w:p w14:paraId="55B89ECD" w14:textId="4176E5D6" w:rsidR="00A17139" w:rsidRPr="00A17139" w:rsidRDefault="00A17139" w:rsidP="00A17139">
                  <w:pPr>
                    <w:jc w:val="center"/>
                    <w:rPr>
                      <w:sz w:val="20"/>
                      <w:szCs w:val="20"/>
                    </w:rPr>
                  </w:pPr>
                  <w:r w:rsidRPr="00A17139">
                    <w:rPr>
                      <w:sz w:val="20"/>
                      <w:szCs w:val="20"/>
                    </w:rPr>
                    <w:t>18,616</w:t>
                  </w:r>
                </w:p>
              </w:tc>
              <w:tc>
                <w:tcPr>
                  <w:tcW w:w="972" w:type="dxa"/>
                  <w:tcBorders>
                    <w:top w:val="single" w:sz="8" w:space="0" w:color="000000" w:themeColor="text1"/>
                    <w:left w:val="nil"/>
                    <w:bottom w:val="nil"/>
                    <w:right w:val="nil"/>
                  </w:tcBorders>
                  <w:shd w:val="clear" w:color="000000" w:fill="FFFFFF"/>
                  <w:noWrap/>
                </w:tcPr>
                <w:p w14:paraId="26B0F504" w14:textId="2DA772F7" w:rsidR="00A17139" w:rsidRPr="00A17139" w:rsidRDefault="00A17139" w:rsidP="00A17139">
                  <w:pPr>
                    <w:jc w:val="center"/>
                    <w:rPr>
                      <w:sz w:val="20"/>
                      <w:szCs w:val="20"/>
                    </w:rPr>
                  </w:pPr>
                  <w:r w:rsidRPr="00A17139">
                    <w:rPr>
                      <w:sz w:val="20"/>
                      <w:szCs w:val="20"/>
                    </w:rPr>
                    <w:t>30,459</w:t>
                  </w:r>
                </w:p>
              </w:tc>
              <w:tc>
                <w:tcPr>
                  <w:tcW w:w="971" w:type="dxa"/>
                  <w:tcBorders>
                    <w:top w:val="single" w:sz="8" w:space="0" w:color="000000" w:themeColor="text1"/>
                    <w:left w:val="nil"/>
                    <w:bottom w:val="nil"/>
                    <w:right w:val="nil"/>
                  </w:tcBorders>
                  <w:shd w:val="clear" w:color="000000" w:fill="FFFFFF"/>
                  <w:noWrap/>
                </w:tcPr>
                <w:p w14:paraId="6DB46C6C" w14:textId="686E60AF" w:rsidR="00A17139" w:rsidRPr="00A17139" w:rsidRDefault="00A17139" w:rsidP="00A17139">
                  <w:pPr>
                    <w:jc w:val="center"/>
                    <w:rPr>
                      <w:sz w:val="20"/>
                      <w:szCs w:val="20"/>
                    </w:rPr>
                  </w:pPr>
                  <w:r w:rsidRPr="00A17139">
                    <w:rPr>
                      <w:sz w:val="20"/>
                      <w:szCs w:val="20"/>
                    </w:rPr>
                    <w:t>28,535</w:t>
                  </w:r>
                </w:p>
              </w:tc>
              <w:tc>
                <w:tcPr>
                  <w:tcW w:w="972" w:type="dxa"/>
                  <w:tcBorders>
                    <w:top w:val="single" w:sz="8" w:space="0" w:color="000000" w:themeColor="text1"/>
                    <w:left w:val="nil"/>
                    <w:bottom w:val="nil"/>
                    <w:right w:val="nil"/>
                  </w:tcBorders>
                  <w:shd w:val="clear" w:color="000000" w:fill="FFFFFF"/>
                  <w:noWrap/>
                </w:tcPr>
                <w:p w14:paraId="3DB0607F" w14:textId="634D7CC9" w:rsidR="00A17139" w:rsidRPr="00A17139" w:rsidRDefault="00A17139" w:rsidP="00A17139">
                  <w:pPr>
                    <w:jc w:val="center"/>
                    <w:rPr>
                      <w:sz w:val="20"/>
                      <w:szCs w:val="20"/>
                    </w:rPr>
                  </w:pPr>
                  <w:r w:rsidRPr="00A17139">
                    <w:rPr>
                      <w:sz w:val="20"/>
                      <w:szCs w:val="20"/>
                    </w:rPr>
                    <w:t>32,967</w:t>
                  </w:r>
                </w:p>
              </w:tc>
              <w:tc>
                <w:tcPr>
                  <w:tcW w:w="971" w:type="dxa"/>
                  <w:tcBorders>
                    <w:top w:val="single" w:sz="8" w:space="0" w:color="000000" w:themeColor="text1"/>
                    <w:left w:val="nil"/>
                    <w:bottom w:val="nil"/>
                    <w:right w:val="nil"/>
                  </w:tcBorders>
                  <w:shd w:val="clear" w:color="000000" w:fill="FFFFFF"/>
                  <w:noWrap/>
                </w:tcPr>
                <w:p w14:paraId="3272CC51" w14:textId="0F464C32" w:rsidR="00A17139" w:rsidRPr="00A17139" w:rsidRDefault="00A17139" w:rsidP="00A17139">
                  <w:pPr>
                    <w:jc w:val="center"/>
                    <w:rPr>
                      <w:sz w:val="20"/>
                      <w:szCs w:val="20"/>
                    </w:rPr>
                  </w:pPr>
                  <w:r w:rsidRPr="00A17139">
                    <w:rPr>
                      <w:sz w:val="20"/>
                      <w:szCs w:val="20"/>
                    </w:rPr>
                    <w:t>35,105</w:t>
                  </w:r>
                </w:p>
              </w:tc>
            </w:tr>
            <w:tr w:rsidR="00A17139" w:rsidRPr="00BC52B5" w14:paraId="1C45D5A9" w14:textId="77777777" w:rsidTr="0078289F">
              <w:trPr>
                <w:trHeight w:val="244"/>
              </w:trPr>
              <w:tc>
                <w:tcPr>
                  <w:tcW w:w="2020" w:type="dxa"/>
                  <w:tcBorders>
                    <w:top w:val="nil"/>
                    <w:left w:val="nil"/>
                    <w:bottom w:val="nil"/>
                    <w:right w:val="nil"/>
                  </w:tcBorders>
                  <w:shd w:val="clear" w:color="000000" w:fill="FFFFFF"/>
                  <w:noWrap/>
                </w:tcPr>
                <w:p w14:paraId="389F8113" w14:textId="5834EE9C" w:rsidR="00A17139" w:rsidRPr="00975D67" w:rsidRDefault="00A17139" w:rsidP="00A17139">
                  <w:pPr>
                    <w:rPr>
                      <w:rFonts w:cs="Times New Roman"/>
                      <w:b/>
                      <w:bCs/>
                      <w:color w:val="000000" w:themeColor="text1"/>
                      <w:sz w:val="20"/>
                      <w:szCs w:val="20"/>
                    </w:rPr>
                  </w:pPr>
                  <w:r w:rsidRPr="00975D67">
                    <w:rPr>
                      <w:rFonts w:hint="eastAsia"/>
                      <w:sz w:val="20"/>
                      <w:szCs w:val="20"/>
                    </w:rPr>
                    <w:t>同比增长</w:t>
                  </w:r>
                  <w:r w:rsidRPr="00975D67">
                    <w:rPr>
                      <w:sz w:val="20"/>
                      <w:szCs w:val="20"/>
                    </w:rPr>
                    <w:t>(%)</w:t>
                  </w:r>
                </w:p>
              </w:tc>
              <w:tc>
                <w:tcPr>
                  <w:tcW w:w="971" w:type="dxa"/>
                  <w:tcBorders>
                    <w:top w:val="nil"/>
                    <w:left w:val="nil"/>
                    <w:bottom w:val="nil"/>
                    <w:right w:val="nil"/>
                  </w:tcBorders>
                  <w:shd w:val="clear" w:color="000000" w:fill="FFFFFF"/>
                  <w:noWrap/>
                </w:tcPr>
                <w:p w14:paraId="5A27918A" w14:textId="08C9E15C" w:rsidR="00A17139" w:rsidRPr="00A17139" w:rsidRDefault="00A17139" w:rsidP="00A17139">
                  <w:pPr>
                    <w:jc w:val="center"/>
                    <w:rPr>
                      <w:sz w:val="20"/>
                      <w:szCs w:val="20"/>
                    </w:rPr>
                  </w:pPr>
                  <w:r w:rsidRPr="00A17139">
                    <w:rPr>
                      <w:sz w:val="20"/>
                      <w:szCs w:val="20"/>
                    </w:rPr>
                    <w:t>14.5%</w:t>
                  </w:r>
                </w:p>
              </w:tc>
              <w:tc>
                <w:tcPr>
                  <w:tcW w:w="972" w:type="dxa"/>
                  <w:tcBorders>
                    <w:top w:val="nil"/>
                    <w:left w:val="nil"/>
                    <w:bottom w:val="nil"/>
                    <w:right w:val="nil"/>
                  </w:tcBorders>
                  <w:shd w:val="clear" w:color="000000" w:fill="FFFFFF"/>
                  <w:noWrap/>
                </w:tcPr>
                <w:p w14:paraId="3B073A98" w14:textId="3056DAF0" w:rsidR="00A17139" w:rsidRPr="00A17139" w:rsidRDefault="00A17139" w:rsidP="00A17139">
                  <w:pPr>
                    <w:jc w:val="center"/>
                    <w:rPr>
                      <w:sz w:val="20"/>
                      <w:szCs w:val="20"/>
                    </w:rPr>
                  </w:pPr>
                  <w:r w:rsidRPr="00A17139">
                    <w:rPr>
                      <w:sz w:val="20"/>
                      <w:szCs w:val="20"/>
                    </w:rPr>
                    <w:t>63.6%</w:t>
                  </w:r>
                </w:p>
              </w:tc>
              <w:tc>
                <w:tcPr>
                  <w:tcW w:w="971" w:type="dxa"/>
                  <w:tcBorders>
                    <w:top w:val="nil"/>
                    <w:left w:val="nil"/>
                    <w:bottom w:val="nil"/>
                    <w:right w:val="nil"/>
                  </w:tcBorders>
                  <w:shd w:val="clear" w:color="000000" w:fill="FFFFFF"/>
                  <w:noWrap/>
                </w:tcPr>
                <w:p w14:paraId="1F5F9C6F" w14:textId="73018013" w:rsidR="00A17139" w:rsidRPr="00A17139" w:rsidRDefault="00A17139" w:rsidP="00A17139">
                  <w:pPr>
                    <w:jc w:val="center"/>
                    <w:rPr>
                      <w:sz w:val="20"/>
                      <w:szCs w:val="20"/>
                    </w:rPr>
                  </w:pPr>
                  <w:r w:rsidRPr="00A17139">
                    <w:rPr>
                      <w:sz w:val="20"/>
                      <w:szCs w:val="20"/>
                    </w:rPr>
                    <w:t>-6.3%</w:t>
                  </w:r>
                </w:p>
              </w:tc>
              <w:tc>
                <w:tcPr>
                  <w:tcW w:w="972" w:type="dxa"/>
                  <w:tcBorders>
                    <w:top w:val="nil"/>
                    <w:left w:val="nil"/>
                    <w:bottom w:val="nil"/>
                    <w:right w:val="nil"/>
                  </w:tcBorders>
                  <w:shd w:val="clear" w:color="000000" w:fill="FFFFFF"/>
                  <w:noWrap/>
                </w:tcPr>
                <w:p w14:paraId="3200FF2E" w14:textId="31C771C8" w:rsidR="00A17139" w:rsidRPr="00A17139" w:rsidRDefault="00A17139" w:rsidP="00A17139">
                  <w:pPr>
                    <w:jc w:val="center"/>
                    <w:rPr>
                      <w:sz w:val="20"/>
                      <w:szCs w:val="20"/>
                    </w:rPr>
                  </w:pPr>
                  <w:r w:rsidRPr="00A17139">
                    <w:rPr>
                      <w:sz w:val="20"/>
                      <w:szCs w:val="20"/>
                    </w:rPr>
                    <w:t>15.5%</w:t>
                  </w:r>
                </w:p>
              </w:tc>
              <w:tc>
                <w:tcPr>
                  <w:tcW w:w="971" w:type="dxa"/>
                  <w:tcBorders>
                    <w:top w:val="nil"/>
                    <w:left w:val="nil"/>
                    <w:bottom w:val="nil"/>
                    <w:right w:val="nil"/>
                  </w:tcBorders>
                  <w:shd w:val="clear" w:color="000000" w:fill="FFFFFF"/>
                  <w:noWrap/>
                </w:tcPr>
                <w:p w14:paraId="6B4A4BAB" w14:textId="75245C3B" w:rsidR="00A17139" w:rsidRPr="00A17139" w:rsidRDefault="00A17139" w:rsidP="00A17139">
                  <w:pPr>
                    <w:jc w:val="center"/>
                    <w:rPr>
                      <w:sz w:val="20"/>
                      <w:szCs w:val="20"/>
                    </w:rPr>
                  </w:pPr>
                  <w:r w:rsidRPr="00A17139">
                    <w:rPr>
                      <w:sz w:val="20"/>
                      <w:szCs w:val="20"/>
                    </w:rPr>
                    <w:t>6.5%</w:t>
                  </w:r>
                </w:p>
              </w:tc>
            </w:tr>
            <w:tr w:rsidR="00A17139" w:rsidRPr="00BC52B5" w14:paraId="53597971" w14:textId="77777777" w:rsidTr="0078289F">
              <w:trPr>
                <w:trHeight w:val="244"/>
              </w:trPr>
              <w:tc>
                <w:tcPr>
                  <w:tcW w:w="2020" w:type="dxa"/>
                  <w:tcBorders>
                    <w:top w:val="nil"/>
                    <w:left w:val="nil"/>
                    <w:bottom w:val="nil"/>
                    <w:right w:val="nil"/>
                  </w:tcBorders>
                  <w:shd w:val="clear" w:color="000000" w:fill="FFFFFF"/>
                  <w:noWrap/>
                </w:tcPr>
                <w:p w14:paraId="3E2275A8" w14:textId="2C237B60" w:rsidR="00A17139" w:rsidRPr="00975D67" w:rsidRDefault="00A17139" w:rsidP="00A17139">
                  <w:pPr>
                    <w:rPr>
                      <w:rFonts w:cs="Times New Roman"/>
                      <w:b/>
                      <w:bCs/>
                      <w:color w:val="000000" w:themeColor="text1"/>
                      <w:sz w:val="20"/>
                      <w:szCs w:val="20"/>
                    </w:rPr>
                  </w:pPr>
                  <w:r w:rsidRPr="00975D67">
                    <w:rPr>
                      <w:rFonts w:hint="eastAsia"/>
                      <w:sz w:val="20"/>
                      <w:szCs w:val="20"/>
                    </w:rPr>
                    <w:t>净利润</w:t>
                  </w:r>
                </w:p>
              </w:tc>
              <w:tc>
                <w:tcPr>
                  <w:tcW w:w="971" w:type="dxa"/>
                  <w:tcBorders>
                    <w:top w:val="nil"/>
                    <w:left w:val="nil"/>
                    <w:bottom w:val="nil"/>
                    <w:right w:val="nil"/>
                  </w:tcBorders>
                  <w:shd w:val="clear" w:color="000000" w:fill="FFFFFF"/>
                  <w:noWrap/>
                </w:tcPr>
                <w:p w14:paraId="4B088FE3" w14:textId="25FDAFF6" w:rsidR="00A17139" w:rsidRPr="00A17139" w:rsidRDefault="00A17139" w:rsidP="00A17139">
                  <w:pPr>
                    <w:jc w:val="center"/>
                    <w:rPr>
                      <w:sz w:val="20"/>
                      <w:szCs w:val="20"/>
                    </w:rPr>
                  </w:pPr>
                  <w:r w:rsidRPr="00A17139">
                    <w:rPr>
                      <w:sz w:val="20"/>
                      <w:szCs w:val="20"/>
                    </w:rPr>
                    <w:t xml:space="preserve">6,422 </w:t>
                  </w:r>
                </w:p>
              </w:tc>
              <w:tc>
                <w:tcPr>
                  <w:tcW w:w="972" w:type="dxa"/>
                  <w:tcBorders>
                    <w:top w:val="nil"/>
                    <w:left w:val="nil"/>
                    <w:bottom w:val="nil"/>
                    <w:right w:val="nil"/>
                  </w:tcBorders>
                  <w:shd w:val="clear" w:color="000000" w:fill="FFFFFF"/>
                  <w:noWrap/>
                </w:tcPr>
                <w:p w14:paraId="2284D9D9" w14:textId="08AD7319" w:rsidR="00A17139" w:rsidRPr="00A17139" w:rsidRDefault="00A17139" w:rsidP="00A17139">
                  <w:pPr>
                    <w:jc w:val="center"/>
                    <w:rPr>
                      <w:sz w:val="20"/>
                      <w:szCs w:val="20"/>
                    </w:rPr>
                  </w:pPr>
                  <w:r w:rsidRPr="00A17139">
                    <w:rPr>
                      <w:sz w:val="20"/>
                      <w:szCs w:val="20"/>
                    </w:rPr>
                    <w:t xml:space="preserve">11,556 </w:t>
                  </w:r>
                </w:p>
              </w:tc>
              <w:tc>
                <w:tcPr>
                  <w:tcW w:w="971" w:type="dxa"/>
                  <w:tcBorders>
                    <w:top w:val="nil"/>
                    <w:left w:val="nil"/>
                    <w:bottom w:val="nil"/>
                    <w:right w:val="nil"/>
                  </w:tcBorders>
                  <w:shd w:val="clear" w:color="000000" w:fill="FFFFFF"/>
                  <w:noWrap/>
                </w:tcPr>
                <w:p w14:paraId="5DA62043" w14:textId="0E0F3E40" w:rsidR="00A17139" w:rsidRPr="00A17139" w:rsidRDefault="00A17139" w:rsidP="00A17139">
                  <w:pPr>
                    <w:jc w:val="center"/>
                    <w:rPr>
                      <w:sz w:val="20"/>
                      <w:szCs w:val="20"/>
                    </w:rPr>
                  </w:pPr>
                  <w:r w:rsidRPr="00A17139">
                    <w:rPr>
                      <w:sz w:val="20"/>
                      <w:szCs w:val="20"/>
                    </w:rPr>
                    <w:t xml:space="preserve">7,195 </w:t>
                  </w:r>
                </w:p>
              </w:tc>
              <w:tc>
                <w:tcPr>
                  <w:tcW w:w="972" w:type="dxa"/>
                  <w:tcBorders>
                    <w:top w:val="nil"/>
                    <w:left w:val="nil"/>
                    <w:bottom w:val="nil"/>
                    <w:right w:val="nil"/>
                  </w:tcBorders>
                  <w:shd w:val="clear" w:color="000000" w:fill="FFFFFF"/>
                  <w:noWrap/>
                </w:tcPr>
                <w:p w14:paraId="4930A0A7" w14:textId="504E51F9" w:rsidR="00A17139" w:rsidRPr="00A17139" w:rsidRDefault="00A17139" w:rsidP="00A17139">
                  <w:pPr>
                    <w:jc w:val="center"/>
                    <w:rPr>
                      <w:sz w:val="20"/>
                      <w:szCs w:val="20"/>
                    </w:rPr>
                  </w:pPr>
                  <w:r w:rsidRPr="00A17139">
                    <w:rPr>
                      <w:sz w:val="20"/>
                      <w:szCs w:val="20"/>
                    </w:rPr>
                    <w:t xml:space="preserve">10,001 </w:t>
                  </w:r>
                </w:p>
              </w:tc>
              <w:tc>
                <w:tcPr>
                  <w:tcW w:w="971" w:type="dxa"/>
                  <w:tcBorders>
                    <w:top w:val="nil"/>
                    <w:left w:val="nil"/>
                    <w:bottom w:val="nil"/>
                    <w:right w:val="nil"/>
                  </w:tcBorders>
                  <w:shd w:val="clear" w:color="000000" w:fill="FFFFFF"/>
                  <w:noWrap/>
                </w:tcPr>
                <w:p w14:paraId="698FF93D" w14:textId="3DA1473B" w:rsidR="00A17139" w:rsidRPr="00A17139" w:rsidRDefault="00A17139" w:rsidP="00A17139">
                  <w:pPr>
                    <w:jc w:val="center"/>
                    <w:rPr>
                      <w:sz w:val="20"/>
                      <w:szCs w:val="20"/>
                    </w:rPr>
                  </w:pPr>
                  <w:r w:rsidRPr="00A17139">
                    <w:rPr>
                      <w:sz w:val="20"/>
                      <w:szCs w:val="20"/>
                    </w:rPr>
                    <w:t xml:space="preserve">10,636 </w:t>
                  </w:r>
                </w:p>
              </w:tc>
            </w:tr>
            <w:tr w:rsidR="00A17139" w:rsidRPr="00BC52B5" w14:paraId="0207B3CC" w14:textId="77777777" w:rsidTr="0078289F">
              <w:trPr>
                <w:trHeight w:val="244"/>
              </w:trPr>
              <w:tc>
                <w:tcPr>
                  <w:tcW w:w="2020" w:type="dxa"/>
                  <w:tcBorders>
                    <w:top w:val="nil"/>
                    <w:left w:val="nil"/>
                    <w:bottom w:val="nil"/>
                    <w:right w:val="nil"/>
                  </w:tcBorders>
                  <w:shd w:val="clear" w:color="000000" w:fill="FFFFFF"/>
                  <w:noWrap/>
                </w:tcPr>
                <w:p w14:paraId="2A94CD8D" w14:textId="27A1656F" w:rsidR="00A17139" w:rsidRPr="00975D67" w:rsidRDefault="00A17139" w:rsidP="00A17139">
                  <w:pPr>
                    <w:rPr>
                      <w:rFonts w:cs="Times New Roman"/>
                      <w:b/>
                      <w:bCs/>
                      <w:color w:val="000000" w:themeColor="text1"/>
                      <w:sz w:val="20"/>
                      <w:szCs w:val="20"/>
                    </w:rPr>
                  </w:pPr>
                  <w:r w:rsidRPr="00975D67">
                    <w:rPr>
                      <w:rFonts w:hint="eastAsia"/>
                      <w:sz w:val="20"/>
                      <w:szCs w:val="20"/>
                    </w:rPr>
                    <w:t>同比增长</w:t>
                  </w:r>
                  <w:r w:rsidRPr="00975D67">
                    <w:rPr>
                      <w:sz w:val="20"/>
                      <w:szCs w:val="20"/>
                    </w:rPr>
                    <w:t>(%)</w:t>
                  </w:r>
                </w:p>
              </w:tc>
              <w:tc>
                <w:tcPr>
                  <w:tcW w:w="971" w:type="dxa"/>
                  <w:tcBorders>
                    <w:top w:val="nil"/>
                    <w:left w:val="nil"/>
                    <w:bottom w:val="nil"/>
                    <w:right w:val="nil"/>
                  </w:tcBorders>
                  <w:shd w:val="clear" w:color="000000" w:fill="FFFFFF"/>
                  <w:noWrap/>
                </w:tcPr>
                <w:p w14:paraId="299E6A79" w14:textId="153C7E48" w:rsidR="00A17139" w:rsidRPr="00A17139" w:rsidRDefault="00A17139" w:rsidP="00A17139">
                  <w:pPr>
                    <w:jc w:val="center"/>
                    <w:rPr>
                      <w:sz w:val="20"/>
                      <w:szCs w:val="20"/>
                    </w:rPr>
                  </w:pPr>
                  <w:r w:rsidRPr="00A17139">
                    <w:rPr>
                      <w:sz w:val="20"/>
                      <w:szCs w:val="20"/>
                    </w:rPr>
                    <w:t>43.4%</w:t>
                  </w:r>
                </w:p>
              </w:tc>
              <w:tc>
                <w:tcPr>
                  <w:tcW w:w="972" w:type="dxa"/>
                  <w:tcBorders>
                    <w:top w:val="nil"/>
                    <w:left w:val="nil"/>
                    <w:bottom w:val="nil"/>
                    <w:right w:val="nil"/>
                  </w:tcBorders>
                  <w:shd w:val="clear" w:color="000000" w:fill="FFFFFF"/>
                  <w:noWrap/>
                </w:tcPr>
                <w:p w14:paraId="3D676C0A" w14:textId="47F6E18E" w:rsidR="00A17139" w:rsidRPr="00A17139" w:rsidRDefault="00A17139" w:rsidP="00A17139">
                  <w:pPr>
                    <w:jc w:val="center"/>
                    <w:rPr>
                      <w:sz w:val="20"/>
                      <w:szCs w:val="20"/>
                    </w:rPr>
                  </w:pPr>
                  <w:r w:rsidRPr="00A17139">
                    <w:rPr>
                      <w:sz w:val="20"/>
                      <w:szCs w:val="20"/>
                    </w:rPr>
                    <w:t>79.9%</w:t>
                  </w:r>
                </w:p>
              </w:tc>
              <w:tc>
                <w:tcPr>
                  <w:tcW w:w="971" w:type="dxa"/>
                  <w:tcBorders>
                    <w:top w:val="nil"/>
                    <w:left w:val="nil"/>
                    <w:bottom w:val="nil"/>
                    <w:right w:val="nil"/>
                  </w:tcBorders>
                  <w:shd w:val="clear" w:color="000000" w:fill="FFFFFF"/>
                  <w:noWrap/>
                </w:tcPr>
                <w:p w14:paraId="43A88B6E" w14:textId="2D95F3AA" w:rsidR="00A17139" w:rsidRPr="00A17139" w:rsidRDefault="00A17139" w:rsidP="00A17139">
                  <w:pPr>
                    <w:jc w:val="center"/>
                    <w:rPr>
                      <w:sz w:val="20"/>
                      <w:szCs w:val="20"/>
                    </w:rPr>
                  </w:pPr>
                  <w:r w:rsidRPr="00A17139">
                    <w:rPr>
                      <w:sz w:val="20"/>
                      <w:szCs w:val="20"/>
                    </w:rPr>
                    <w:t>-37.7%</w:t>
                  </w:r>
                </w:p>
              </w:tc>
              <w:tc>
                <w:tcPr>
                  <w:tcW w:w="972" w:type="dxa"/>
                  <w:tcBorders>
                    <w:top w:val="nil"/>
                    <w:left w:val="nil"/>
                    <w:bottom w:val="nil"/>
                    <w:right w:val="nil"/>
                  </w:tcBorders>
                  <w:shd w:val="clear" w:color="000000" w:fill="FFFFFF"/>
                  <w:noWrap/>
                </w:tcPr>
                <w:p w14:paraId="33F9E5F6" w14:textId="72E6C3E0" w:rsidR="00A17139" w:rsidRPr="00A17139" w:rsidRDefault="00A17139" w:rsidP="00A17139">
                  <w:pPr>
                    <w:jc w:val="center"/>
                    <w:rPr>
                      <w:sz w:val="20"/>
                      <w:szCs w:val="20"/>
                    </w:rPr>
                  </w:pPr>
                  <w:r w:rsidRPr="00A17139">
                    <w:rPr>
                      <w:sz w:val="20"/>
                      <w:szCs w:val="20"/>
                    </w:rPr>
                    <w:t>39.0%</w:t>
                  </w:r>
                </w:p>
              </w:tc>
              <w:tc>
                <w:tcPr>
                  <w:tcW w:w="971" w:type="dxa"/>
                  <w:tcBorders>
                    <w:top w:val="nil"/>
                    <w:left w:val="nil"/>
                    <w:bottom w:val="nil"/>
                    <w:right w:val="nil"/>
                  </w:tcBorders>
                  <w:shd w:val="clear" w:color="000000" w:fill="FFFFFF"/>
                  <w:noWrap/>
                </w:tcPr>
                <w:p w14:paraId="14F7D088" w14:textId="73A06B34" w:rsidR="00A17139" w:rsidRPr="00A17139" w:rsidRDefault="00A17139" w:rsidP="00A17139">
                  <w:pPr>
                    <w:jc w:val="center"/>
                    <w:rPr>
                      <w:sz w:val="20"/>
                      <w:szCs w:val="20"/>
                    </w:rPr>
                  </w:pPr>
                  <w:r w:rsidRPr="00A17139">
                    <w:rPr>
                      <w:sz w:val="20"/>
                      <w:szCs w:val="20"/>
                    </w:rPr>
                    <w:t>6.3%</w:t>
                  </w:r>
                </w:p>
              </w:tc>
            </w:tr>
            <w:tr w:rsidR="00A17139" w:rsidRPr="00BC52B5" w14:paraId="5624FB4B" w14:textId="77777777" w:rsidTr="0078289F">
              <w:trPr>
                <w:trHeight w:val="244"/>
              </w:trPr>
              <w:tc>
                <w:tcPr>
                  <w:tcW w:w="2020" w:type="dxa"/>
                  <w:tcBorders>
                    <w:top w:val="nil"/>
                    <w:left w:val="nil"/>
                    <w:bottom w:val="nil"/>
                    <w:right w:val="nil"/>
                  </w:tcBorders>
                  <w:shd w:val="clear" w:color="000000" w:fill="FFFFFF"/>
                  <w:noWrap/>
                </w:tcPr>
                <w:p w14:paraId="7C894A09" w14:textId="3A532E0E" w:rsidR="00A17139" w:rsidRPr="00975D67" w:rsidRDefault="00A17139" w:rsidP="00A17139">
                  <w:pPr>
                    <w:rPr>
                      <w:rFonts w:cs="Times New Roman"/>
                      <w:bCs/>
                      <w:color w:val="000000" w:themeColor="text1"/>
                      <w:sz w:val="20"/>
                      <w:szCs w:val="20"/>
                    </w:rPr>
                  </w:pPr>
                  <w:r w:rsidRPr="00975D67">
                    <w:rPr>
                      <w:rFonts w:hint="eastAsia"/>
                      <w:sz w:val="20"/>
                      <w:szCs w:val="20"/>
                    </w:rPr>
                    <w:t>每股盈利（港</w:t>
                  </w:r>
                  <w:r>
                    <w:rPr>
                      <w:rFonts w:hint="eastAsia"/>
                      <w:sz w:val="20"/>
                      <w:szCs w:val="20"/>
                    </w:rPr>
                    <w:t>元</w:t>
                  </w:r>
                  <w:r w:rsidRPr="00975D67">
                    <w:rPr>
                      <w:rFonts w:hint="eastAsia"/>
                      <w:sz w:val="20"/>
                      <w:szCs w:val="20"/>
                    </w:rPr>
                    <w:t>）</w:t>
                  </w:r>
                </w:p>
              </w:tc>
              <w:tc>
                <w:tcPr>
                  <w:tcW w:w="971" w:type="dxa"/>
                  <w:tcBorders>
                    <w:top w:val="nil"/>
                    <w:left w:val="nil"/>
                    <w:bottom w:val="nil"/>
                    <w:right w:val="nil"/>
                  </w:tcBorders>
                  <w:shd w:val="clear" w:color="000000" w:fill="FFFFFF"/>
                  <w:noWrap/>
                </w:tcPr>
                <w:p w14:paraId="39EA2C90" w14:textId="13A7D892" w:rsidR="00A17139" w:rsidRPr="00A17139" w:rsidRDefault="00A17139" w:rsidP="00A17139">
                  <w:pPr>
                    <w:jc w:val="center"/>
                    <w:rPr>
                      <w:sz w:val="20"/>
                      <w:szCs w:val="20"/>
                    </w:rPr>
                  </w:pPr>
                  <w:r w:rsidRPr="00A17139">
                    <w:rPr>
                      <w:sz w:val="20"/>
                      <w:szCs w:val="20"/>
                    </w:rPr>
                    <w:t xml:space="preserve">1.6 </w:t>
                  </w:r>
                </w:p>
              </w:tc>
              <w:tc>
                <w:tcPr>
                  <w:tcW w:w="972" w:type="dxa"/>
                  <w:tcBorders>
                    <w:top w:val="nil"/>
                    <w:left w:val="nil"/>
                    <w:bottom w:val="nil"/>
                    <w:right w:val="nil"/>
                  </w:tcBorders>
                  <w:shd w:val="clear" w:color="000000" w:fill="FFFFFF"/>
                  <w:noWrap/>
                </w:tcPr>
                <w:p w14:paraId="67BC7371" w14:textId="1BE2DEDE" w:rsidR="00A17139" w:rsidRPr="00A17139" w:rsidRDefault="00A17139" w:rsidP="00A17139">
                  <w:pPr>
                    <w:jc w:val="center"/>
                    <w:rPr>
                      <w:sz w:val="20"/>
                      <w:szCs w:val="20"/>
                    </w:rPr>
                  </w:pPr>
                  <w:r w:rsidRPr="00A17139">
                    <w:rPr>
                      <w:sz w:val="20"/>
                      <w:szCs w:val="20"/>
                    </w:rPr>
                    <w:t xml:space="preserve">2.9 </w:t>
                  </w:r>
                </w:p>
              </w:tc>
              <w:tc>
                <w:tcPr>
                  <w:tcW w:w="971" w:type="dxa"/>
                  <w:tcBorders>
                    <w:top w:val="nil"/>
                    <w:left w:val="nil"/>
                    <w:bottom w:val="nil"/>
                    <w:right w:val="nil"/>
                  </w:tcBorders>
                  <w:shd w:val="clear" w:color="000000" w:fill="FFFFFF"/>
                  <w:noWrap/>
                </w:tcPr>
                <w:p w14:paraId="43A59BCE" w14:textId="5313BDDD" w:rsidR="00A17139" w:rsidRPr="00A17139" w:rsidRDefault="00A17139" w:rsidP="00A17139">
                  <w:pPr>
                    <w:jc w:val="center"/>
                    <w:rPr>
                      <w:sz w:val="20"/>
                      <w:szCs w:val="20"/>
                    </w:rPr>
                  </w:pPr>
                  <w:r w:rsidRPr="00A17139">
                    <w:rPr>
                      <w:sz w:val="20"/>
                      <w:szCs w:val="20"/>
                    </w:rPr>
                    <w:t xml:space="preserve">1.8 </w:t>
                  </w:r>
                </w:p>
              </w:tc>
              <w:tc>
                <w:tcPr>
                  <w:tcW w:w="972" w:type="dxa"/>
                  <w:tcBorders>
                    <w:top w:val="nil"/>
                    <w:left w:val="nil"/>
                    <w:bottom w:val="nil"/>
                    <w:right w:val="nil"/>
                  </w:tcBorders>
                  <w:shd w:val="clear" w:color="000000" w:fill="FFFFFF"/>
                  <w:noWrap/>
                </w:tcPr>
                <w:p w14:paraId="4356FAF0" w14:textId="205A7ABE" w:rsidR="00A17139" w:rsidRPr="00A17139" w:rsidRDefault="00A17139" w:rsidP="00A17139">
                  <w:pPr>
                    <w:jc w:val="center"/>
                    <w:rPr>
                      <w:sz w:val="20"/>
                      <w:szCs w:val="20"/>
                    </w:rPr>
                  </w:pPr>
                  <w:r w:rsidRPr="00A17139">
                    <w:rPr>
                      <w:sz w:val="20"/>
                      <w:szCs w:val="20"/>
                    </w:rPr>
                    <w:t xml:space="preserve">2.5 </w:t>
                  </w:r>
                </w:p>
              </w:tc>
              <w:tc>
                <w:tcPr>
                  <w:tcW w:w="971" w:type="dxa"/>
                  <w:tcBorders>
                    <w:top w:val="nil"/>
                    <w:left w:val="nil"/>
                    <w:bottom w:val="nil"/>
                    <w:right w:val="nil"/>
                  </w:tcBorders>
                  <w:shd w:val="clear" w:color="000000" w:fill="FFFFFF"/>
                  <w:noWrap/>
                </w:tcPr>
                <w:p w14:paraId="7AE59F80" w14:textId="5330D2B3" w:rsidR="00A17139" w:rsidRPr="00A17139" w:rsidRDefault="00A17139" w:rsidP="00A17139">
                  <w:pPr>
                    <w:jc w:val="center"/>
                    <w:rPr>
                      <w:sz w:val="20"/>
                      <w:szCs w:val="20"/>
                    </w:rPr>
                  </w:pPr>
                  <w:r w:rsidRPr="00A17139">
                    <w:rPr>
                      <w:sz w:val="20"/>
                      <w:szCs w:val="20"/>
                    </w:rPr>
                    <w:t xml:space="preserve">2.6 </w:t>
                  </w:r>
                </w:p>
              </w:tc>
            </w:tr>
            <w:tr w:rsidR="00A17139" w:rsidRPr="00BC52B5" w14:paraId="0279C3A3" w14:textId="77777777" w:rsidTr="0078289F">
              <w:trPr>
                <w:trHeight w:val="244"/>
              </w:trPr>
              <w:tc>
                <w:tcPr>
                  <w:tcW w:w="2020" w:type="dxa"/>
                  <w:tcBorders>
                    <w:top w:val="nil"/>
                    <w:left w:val="nil"/>
                    <w:right w:val="nil"/>
                  </w:tcBorders>
                  <w:shd w:val="clear" w:color="000000" w:fill="FFFFFF"/>
                  <w:noWrap/>
                </w:tcPr>
                <w:p w14:paraId="63C94795" w14:textId="151B9526" w:rsidR="00A17139" w:rsidRPr="00431F85" w:rsidRDefault="00000000" w:rsidP="00A17139">
                  <w:pPr>
                    <w:rPr>
                      <w:rFonts w:cs="Times New Roman"/>
                      <w:color w:val="000000" w:themeColor="text1"/>
                      <w:sz w:val="20"/>
                      <w:szCs w:val="20"/>
                    </w:rPr>
                  </w:pPr>
                  <w:hyperlink r:id="rId9" w:history="1">
                    <w:r w:rsidR="00A17139" w:rsidRPr="009C0DE7">
                      <w:rPr>
                        <w:sz w:val="20"/>
                        <w:szCs w:val="20"/>
                      </w:rPr>
                      <w:t>PE@15.18HKD</w:t>
                    </w:r>
                  </w:hyperlink>
                </w:p>
              </w:tc>
              <w:tc>
                <w:tcPr>
                  <w:tcW w:w="971" w:type="dxa"/>
                  <w:tcBorders>
                    <w:top w:val="nil"/>
                    <w:left w:val="nil"/>
                    <w:right w:val="nil"/>
                  </w:tcBorders>
                  <w:shd w:val="clear" w:color="000000" w:fill="FFFFFF"/>
                  <w:noWrap/>
                </w:tcPr>
                <w:p w14:paraId="3BCC0914" w14:textId="67D764CD" w:rsidR="00A17139" w:rsidRPr="00A17139" w:rsidRDefault="00A17139" w:rsidP="00A17139">
                  <w:pPr>
                    <w:jc w:val="center"/>
                    <w:rPr>
                      <w:sz w:val="20"/>
                      <w:szCs w:val="20"/>
                    </w:rPr>
                  </w:pPr>
                  <w:r w:rsidRPr="00A17139">
                    <w:rPr>
                      <w:sz w:val="20"/>
                      <w:szCs w:val="20"/>
                    </w:rPr>
                    <w:t xml:space="preserve">9.5 </w:t>
                  </w:r>
                </w:p>
              </w:tc>
              <w:tc>
                <w:tcPr>
                  <w:tcW w:w="972" w:type="dxa"/>
                  <w:tcBorders>
                    <w:top w:val="nil"/>
                    <w:left w:val="nil"/>
                    <w:right w:val="nil"/>
                  </w:tcBorders>
                  <w:shd w:val="clear" w:color="000000" w:fill="FFFFFF"/>
                  <w:noWrap/>
                </w:tcPr>
                <w:p w14:paraId="1D8517F7" w14:textId="1B1A1645" w:rsidR="00A17139" w:rsidRPr="00A17139" w:rsidRDefault="00A17139" w:rsidP="00A17139">
                  <w:pPr>
                    <w:jc w:val="center"/>
                    <w:rPr>
                      <w:sz w:val="20"/>
                      <w:szCs w:val="20"/>
                    </w:rPr>
                  </w:pPr>
                  <w:r w:rsidRPr="00A17139">
                    <w:rPr>
                      <w:sz w:val="20"/>
                      <w:szCs w:val="20"/>
                    </w:rPr>
                    <w:t xml:space="preserve">5.3 </w:t>
                  </w:r>
                </w:p>
              </w:tc>
              <w:tc>
                <w:tcPr>
                  <w:tcW w:w="971" w:type="dxa"/>
                  <w:tcBorders>
                    <w:top w:val="nil"/>
                    <w:left w:val="nil"/>
                    <w:right w:val="nil"/>
                  </w:tcBorders>
                  <w:shd w:val="clear" w:color="000000" w:fill="FFFFFF"/>
                  <w:noWrap/>
                </w:tcPr>
                <w:p w14:paraId="15F50E17" w14:textId="5541E54D" w:rsidR="00A17139" w:rsidRPr="00A17139" w:rsidRDefault="00A17139" w:rsidP="00A17139">
                  <w:pPr>
                    <w:jc w:val="center"/>
                    <w:rPr>
                      <w:sz w:val="20"/>
                      <w:szCs w:val="20"/>
                    </w:rPr>
                  </w:pPr>
                  <w:r w:rsidRPr="00A17139">
                    <w:rPr>
                      <w:sz w:val="20"/>
                      <w:szCs w:val="20"/>
                    </w:rPr>
                    <w:t xml:space="preserve">8.5 </w:t>
                  </w:r>
                </w:p>
              </w:tc>
              <w:tc>
                <w:tcPr>
                  <w:tcW w:w="972" w:type="dxa"/>
                  <w:tcBorders>
                    <w:top w:val="nil"/>
                    <w:left w:val="nil"/>
                    <w:right w:val="nil"/>
                  </w:tcBorders>
                  <w:shd w:val="clear" w:color="000000" w:fill="FFFFFF"/>
                  <w:noWrap/>
                </w:tcPr>
                <w:p w14:paraId="752A3409" w14:textId="03C6FE65" w:rsidR="00A17139" w:rsidRPr="00A17139" w:rsidRDefault="00A17139" w:rsidP="00A17139">
                  <w:pPr>
                    <w:jc w:val="center"/>
                    <w:rPr>
                      <w:sz w:val="20"/>
                      <w:szCs w:val="20"/>
                    </w:rPr>
                  </w:pPr>
                  <w:r w:rsidRPr="00A17139">
                    <w:rPr>
                      <w:sz w:val="20"/>
                      <w:szCs w:val="20"/>
                    </w:rPr>
                    <w:t xml:space="preserve">6.1 </w:t>
                  </w:r>
                </w:p>
              </w:tc>
              <w:tc>
                <w:tcPr>
                  <w:tcW w:w="971" w:type="dxa"/>
                  <w:tcBorders>
                    <w:top w:val="nil"/>
                    <w:left w:val="nil"/>
                    <w:right w:val="nil"/>
                  </w:tcBorders>
                  <w:shd w:val="clear" w:color="000000" w:fill="FFFFFF"/>
                  <w:noWrap/>
                </w:tcPr>
                <w:p w14:paraId="6F1B3980" w14:textId="768F881F" w:rsidR="00A17139" w:rsidRPr="00A17139" w:rsidRDefault="00A17139" w:rsidP="00A17139">
                  <w:pPr>
                    <w:jc w:val="center"/>
                    <w:rPr>
                      <w:sz w:val="20"/>
                      <w:szCs w:val="20"/>
                    </w:rPr>
                  </w:pPr>
                  <w:r w:rsidRPr="00A17139">
                    <w:rPr>
                      <w:sz w:val="20"/>
                      <w:szCs w:val="20"/>
                    </w:rPr>
                    <w:t xml:space="preserve">5.9 </w:t>
                  </w:r>
                </w:p>
              </w:tc>
            </w:tr>
            <w:tr w:rsidR="00A17139" w:rsidRPr="00BC52B5" w14:paraId="48F65285" w14:textId="77777777" w:rsidTr="0078289F">
              <w:trPr>
                <w:trHeight w:val="244"/>
              </w:trPr>
              <w:tc>
                <w:tcPr>
                  <w:tcW w:w="2020" w:type="dxa"/>
                  <w:tcBorders>
                    <w:top w:val="nil"/>
                    <w:left w:val="nil"/>
                    <w:right w:val="nil"/>
                  </w:tcBorders>
                  <w:shd w:val="clear" w:color="000000" w:fill="FFFFFF"/>
                  <w:noWrap/>
                </w:tcPr>
                <w:p w14:paraId="1452F97E" w14:textId="11C04C94" w:rsidR="00A17139" w:rsidRPr="00975D67" w:rsidRDefault="00A17139" w:rsidP="00A17139">
                  <w:pPr>
                    <w:rPr>
                      <w:rFonts w:cs="Times New Roman"/>
                      <w:b/>
                      <w:bCs/>
                      <w:color w:val="000000" w:themeColor="text1"/>
                      <w:sz w:val="20"/>
                      <w:szCs w:val="20"/>
                    </w:rPr>
                  </w:pPr>
                  <w:r w:rsidRPr="00975D67">
                    <w:rPr>
                      <w:rFonts w:hint="eastAsia"/>
                      <w:sz w:val="20"/>
                      <w:szCs w:val="20"/>
                    </w:rPr>
                    <w:t>每股股息（港</w:t>
                  </w:r>
                  <w:r>
                    <w:rPr>
                      <w:rFonts w:hint="eastAsia"/>
                      <w:sz w:val="20"/>
                      <w:szCs w:val="20"/>
                    </w:rPr>
                    <w:t>元</w:t>
                  </w:r>
                  <w:r w:rsidRPr="00975D67">
                    <w:rPr>
                      <w:rFonts w:hint="eastAsia"/>
                      <w:sz w:val="20"/>
                      <w:szCs w:val="20"/>
                    </w:rPr>
                    <w:t>）</w:t>
                  </w:r>
                </w:p>
              </w:tc>
              <w:tc>
                <w:tcPr>
                  <w:tcW w:w="971" w:type="dxa"/>
                  <w:tcBorders>
                    <w:top w:val="nil"/>
                    <w:left w:val="nil"/>
                    <w:right w:val="nil"/>
                  </w:tcBorders>
                  <w:shd w:val="clear" w:color="000000" w:fill="FFFFFF"/>
                  <w:noWrap/>
                </w:tcPr>
                <w:p w14:paraId="4E3A0FDF" w14:textId="12E63996" w:rsidR="00A17139" w:rsidRPr="00A17139" w:rsidRDefault="00A17139" w:rsidP="00A17139">
                  <w:pPr>
                    <w:jc w:val="center"/>
                    <w:rPr>
                      <w:sz w:val="20"/>
                      <w:szCs w:val="20"/>
                    </w:rPr>
                  </w:pPr>
                  <w:r w:rsidRPr="00A17139">
                    <w:rPr>
                      <w:sz w:val="20"/>
                      <w:szCs w:val="20"/>
                    </w:rPr>
                    <w:t xml:space="preserve">0.8 </w:t>
                  </w:r>
                </w:p>
              </w:tc>
              <w:tc>
                <w:tcPr>
                  <w:tcW w:w="972" w:type="dxa"/>
                  <w:tcBorders>
                    <w:top w:val="nil"/>
                    <w:left w:val="nil"/>
                    <w:right w:val="nil"/>
                  </w:tcBorders>
                  <w:shd w:val="clear" w:color="000000" w:fill="FFFFFF"/>
                  <w:noWrap/>
                </w:tcPr>
                <w:p w14:paraId="247FB83A" w14:textId="0808B88B" w:rsidR="00A17139" w:rsidRPr="00A17139" w:rsidRDefault="00A17139" w:rsidP="00A17139">
                  <w:pPr>
                    <w:jc w:val="center"/>
                    <w:rPr>
                      <w:sz w:val="20"/>
                      <w:szCs w:val="20"/>
                    </w:rPr>
                  </w:pPr>
                  <w:r w:rsidRPr="00A17139">
                    <w:rPr>
                      <w:sz w:val="20"/>
                      <w:szCs w:val="20"/>
                    </w:rPr>
                    <w:t xml:space="preserve">1.4 </w:t>
                  </w:r>
                </w:p>
              </w:tc>
              <w:tc>
                <w:tcPr>
                  <w:tcW w:w="971" w:type="dxa"/>
                  <w:tcBorders>
                    <w:top w:val="nil"/>
                    <w:left w:val="nil"/>
                    <w:right w:val="nil"/>
                  </w:tcBorders>
                  <w:shd w:val="clear" w:color="000000" w:fill="FFFFFF"/>
                  <w:noWrap/>
                </w:tcPr>
                <w:p w14:paraId="52CB5738" w14:textId="75713844" w:rsidR="00A17139" w:rsidRPr="00A17139" w:rsidRDefault="00A17139" w:rsidP="00A17139">
                  <w:pPr>
                    <w:jc w:val="center"/>
                    <w:rPr>
                      <w:sz w:val="20"/>
                      <w:szCs w:val="20"/>
                    </w:rPr>
                  </w:pPr>
                  <w:r w:rsidRPr="00A17139">
                    <w:rPr>
                      <w:sz w:val="20"/>
                      <w:szCs w:val="20"/>
                    </w:rPr>
                    <w:t xml:space="preserve">0.9 </w:t>
                  </w:r>
                </w:p>
              </w:tc>
              <w:tc>
                <w:tcPr>
                  <w:tcW w:w="972" w:type="dxa"/>
                  <w:tcBorders>
                    <w:top w:val="nil"/>
                    <w:left w:val="nil"/>
                    <w:right w:val="nil"/>
                  </w:tcBorders>
                  <w:shd w:val="clear" w:color="000000" w:fill="FFFFFF"/>
                  <w:noWrap/>
                </w:tcPr>
                <w:p w14:paraId="5DDDEA7D" w14:textId="77524587" w:rsidR="00A17139" w:rsidRPr="00A17139" w:rsidRDefault="00A17139" w:rsidP="00A17139">
                  <w:pPr>
                    <w:jc w:val="center"/>
                    <w:rPr>
                      <w:sz w:val="20"/>
                      <w:szCs w:val="20"/>
                    </w:rPr>
                  </w:pPr>
                  <w:r w:rsidRPr="00A17139">
                    <w:rPr>
                      <w:sz w:val="20"/>
                      <w:szCs w:val="20"/>
                    </w:rPr>
                    <w:t xml:space="preserve">1.2 </w:t>
                  </w:r>
                </w:p>
              </w:tc>
              <w:tc>
                <w:tcPr>
                  <w:tcW w:w="971" w:type="dxa"/>
                  <w:tcBorders>
                    <w:top w:val="nil"/>
                    <w:left w:val="nil"/>
                    <w:right w:val="nil"/>
                  </w:tcBorders>
                  <w:shd w:val="clear" w:color="000000" w:fill="FFFFFF"/>
                  <w:noWrap/>
                </w:tcPr>
                <w:p w14:paraId="2579B3E0" w14:textId="49016643" w:rsidR="00A17139" w:rsidRPr="00A17139" w:rsidRDefault="00A17139" w:rsidP="00A17139">
                  <w:pPr>
                    <w:jc w:val="center"/>
                    <w:rPr>
                      <w:sz w:val="20"/>
                      <w:szCs w:val="20"/>
                    </w:rPr>
                  </w:pPr>
                  <w:r w:rsidRPr="00A17139">
                    <w:rPr>
                      <w:sz w:val="20"/>
                      <w:szCs w:val="20"/>
                    </w:rPr>
                    <w:t xml:space="preserve">1.3 </w:t>
                  </w:r>
                </w:p>
              </w:tc>
            </w:tr>
            <w:tr w:rsidR="00A17139" w:rsidRPr="00BC52B5" w14:paraId="4702AA51" w14:textId="77777777" w:rsidTr="0078289F">
              <w:trPr>
                <w:trHeight w:val="209"/>
              </w:trPr>
              <w:tc>
                <w:tcPr>
                  <w:tcW w:w="2020" w:type="dxa"/>
                  <w:tcBorders>
                    <w:top w:val="nil"/>
                    <w:left w:val="nil"/>
                    <w:bottom w:val="single" w:sz="8" w:space="0" w:color="000000" w:themeColor="text1"/>
                    <w:right w:val="nil"/>
                  </w:tcBorders>
                  <w:shd w:val="clear" w:color="000000" w:fill="FFFFFF"/>
                  <w:noWrap/>
                </w:tcPr>
                <w:p w14:paraId="2CC8905C" w14:textId="7314D4D0" w:rsidR="00A17139" w:rsidRPr="00975D67" w:rsidRDefault="00A17139" w:rsidP="00A17139">
                  <w:pPr>
                    <w:widowControl/>
                    <w:jc w:val="left"/>
                    <w:textAlignment w:val="center"/>
                    <w:rPr>
                      <w:rFonts w:cs="Times New Roman"/>
                      <w:color w:val="000000"/>
                      <w:kern w:val="0"/>
                      <w:sz w:val="20"/>
                      <w:szCs w:val="20"/>
                      <w:lang w:bidi="ar"/>
                    </w:rPr>
                  </w:pPr>
                  <w:r w:rsidRPr="00975D67">
                    <w:rPr>
                      <w:rFonts w:hint="eastAsia"/>
                      <w:sz w:val="20"/>
                      <w:szCs w:val="20"/>
                    </w:rPr>
                    <w:t>股息率</w:t>
                  </w:r>
                </w:p>
              </w:tc>
              <w:tc>
                <w:tcPr>
                  <w:tcW w:w="971" w:type="dxa"/>
                  <w:tcBorders>
                    <w:top w:val="nil"/>
                    <w:left w:val="nil"/>
                    <w:bottom w:val="single" w:sz="8" w:space="0" w:color="000000" w:themeColor="text1"/>
                    <w:right w:val="nil"/>
                  </w:tcBorders>
                  <w:shd w:val="clear" w:color="000000" w:fill="FFFFFF"/>
                  <w:noWrap/>
                </w:tcPr>
                <w:p w14:paraId="2556DD4F" w14:textId="4C72C295" w:rsidR="00A17139" w:rsidRPr="00A17139" w:rsidRDefault="00A17139" w:rsidP="00A17139">
                  <w:pPr>
                    <w:jc w:val="center"/>
                    <w:rPr>
                      <w:sz w:val="20"/>
                      <w:szCs w:val="20"/>
                    </w:rPr>
                  </w:pPr>
                  <w:r w:rsidRPr="00A17139">
                    <w:rPr>
                      <w:sz w:val="20"/>
                      <w:szCs w:val="20"/>
                    </w:rPr>
                    <w:t>5.22%</w:t>
                  </w:r>
                </w:p>
              </w:tc>
              <w:tc>
                <w:tcPr>
                  <w:tcW w:w="972" w:type="dxa"/>
                  <w:tcBorders>
                    <w:top w:val="nil"/>
                    <w:left w:val="nil"/>
                    <w:bottom w:val="single" w:sz="8" w:space="0" w:color="000000" w:themeColor="text1"/>
                    <w:right w:val="nil"/>
                  </w:tcBorders>
                  <w:shd w:val="clear" w:color="000000" w:fill="FFFFFF"/>
                  <w:noWrap/>
                </w:tcPr>
                <w:p w14:paraId="1074E8E8" w14:textId="2BEA930E" w:rsidR="00A17139" w:rsidRPr="00A17139" w:rsidRDefault="00A17139" w:rsidP="00A17139">
                  <w:pPr>
                    <w:jc w:val="center"/>
                    <w:rPr>
                      <w:sz w:val="20"/>
                      <w:szCs w:val="20"/>
                    </w:rPr>
                  </w:pPr>
                  <w:r w:rsidRPr="00A17139">
                    <w:rPr>
                      <w:sz w:val="20"/>
                      <w:szCs w:val="20"/>
                    </w:rPr>
                    <w:t>9.37%</w:t>
                  </w:r>
                </w:p>
              </w:tc>
              <w:tc>
                <w:tcPr>
                  <w:tcW w:w="971" w:type="dxa"/>
                  <w:tcBorders>
                    <w:top w:val="nil"/>
                    <w:left w:val="nil"/>
                    <w:bottom w:val="single" w:sz="8" w:space="0" w:color="000000" w:themeColor="text1"/>
                    <w:right w:val="nil"/>
                  </w:tcBorders>
                  <w:shd w:val="clear" w:color="000000" w:fill="FFFFFF"/>
                  <w:noWrap/>
                </w:tcPr>
                <w:p w14:paraId="7017D183" w14:textId="799B802E" w:rsidR="00A17139" w:rsidRPr="00A17139" w:rsidRDefault="00A17139" w:rsidP="00A17139">
                  <w:pPr>
                    <w:jc w:val="center"/>
                    <w:rPr>
                      <w:sz w:val="20"/>
                      <w:szCs w:val="20"/>
                    </w:rPr>
                  </w:pPr>
                  <w:r w:rsidRPr="00A17139">
                    <w:rPr>
                      <w:sz w:val="20"/>
                      <w:szCs w:val="20"/>
                    </w:rPr>
                    <w:t>5.78%</w:t>
                  </w:r>
                </w:p>
              </w:tc>
              <w:tc>
                <w:tcPr>
                  <w:tcW w:w="972" w:type="dxa"/>
                  <w:tcBorders>
                    <w:top w:val="nil"/>
                    <w:left w:val="nil"/>
                    <w:bottom w:val="single" w:sz="8" w:space="0" w:color="000000" w:themeColor="text1"/>
                    <w:right w:val="nil"/>
                  </w:tcBorders>
                  <w:shd w:val="clear" w:color="000000" w:fill="FFFFFF"/>
                  <w:noWrap/>
                </w:tcPr>
                <w:p w14:paraId="5CCD887F" w14:textId="2A21C17D" w:rsidR="00A17139" w:rsidRPr="00A17139" w:rsidRDefault="00A17139" w:rsidP="00A17139">
                  <w:pPr>
                    <w:jc w:val="center"/>
                    <w:rPr>
                      <w:sz w:val="20"/>
                      <w:szCs w:val="20"/>
                    </w:rPr>
                  </w:pPr>
                  <w:r w:rsidRPr="00A17139">
                    <w:rPr>
                      <w:sz w:val="20"/>
                      <w:szCs w:val="20"/>
                    </w:rPr>
                    <w:t>8.03%</w:t>
                  </w:r>
                </w:p>
              </w:tc>
              <w:tc>
                <w:tcPr>
                  <w:tcW w:w="971" w:type="dxa"/>
                  <w:tcBorders>
                    <w:top w:val="nil"/>
                    <w:left w:val="nil"/>
                    <w:bottom w:val="single" w:sz="8" w:space="0" w:color="000000" w:themeColor="text1"/>
                    <w:right w:val="nil"/>
                  </w:tcBorders>
                  <w:shd w:val="clear" w:color="000000" w:fill="FFFFFF"/>
                  <w:noWrap/>
                </w:tcPr>
                <w:p w14:paraId="53FA5E5B" w14:textId="220D510F" w:rsidR="00A17139" w:rsidRPr="00A17139" w:rsidRDefault="00A17139" w:rsidP="00A17139">
                  <w:pPr>
                    <w:jc w:val="center"/>
                    <w:rPr>
                      <w:sz w:val="20"/>
                      <w:szCs w:val="20"/>
                    </w:rPr>
                  </w:pPr>
                  <w:r w:rsidRPr="00A17139">
                    <w:rPr>
                      <w:sz w:val="20"/>
                      <w:szCs w:val="20"/>
                    </w:rPr>
                    <w:t>8.34%</w:t>
                  </w:r>
                </w:p>
              </w:tc>
            </w:tr>
          </w:tbl>
          <w:p w14:paraId="4C4CB66C" w14:textId="6A7ED460" w:rsidR="00BC6CCE" w:rsidRPr="00BC52B5" w:rsidRDefault="00CE2A3C">
            <w:pPr>
              <w:pStyle w:val="af9"/>
            </w:pPr>
            <w:r w:rsidRPr="00BC52B5">
              <w:rPr>
                <w:rFonts w:hint="eastAsia"/>
                <w:lang w:bidi="ar"/>
              </w:rPr>
              <w:t>数据来源：</w:t>
            </w:r>
            <w:r w:rsidRPr="00BC52B5">
              <w:rPr>
                <w:lang w:bidi="ar"/>
              </w:rPr>
              <w:t>Wind</w:t>
            </w:r>
            <w:r w:rsidRPr="00BC52B5">
              <w:rPr>
                <w:rFonts w:hint="eastAsia"/>
                <w:lang w:bidi="ar"/>
              </w:rPr>
              <w:t>、国元证券经纪（香港）整理</w:t>
            </w:r>
          </w:p>
        </w:tc>
      </w:tr>
    </w:tbl>
    <w:tbl>
      <w:tblPr>
        <w:tblW w:w="10490" w:type="dxa"/>
        <w:tblInd w:w="-284" w:type="dxa"/>
        <w:tblLayout w:type="fixed"/>
        <w:tblCellMar>
          <w:left w:w="28" w:type="dxa"/>
          <w:right w:w="28" w:type="dxa"/>
        </w:tblCellMar>
        <w:tblLook w:val="04A0" w:firstRow="1" w:lastRow="0" w:firstColumn="1" w:lastColumn="0" w:noHBand="0" w:noVBand="1"/>
      </w:tblPr>
      <w:tblGrid>
        <w:gridCol w:w="2297"/>
        <w:gridCol w:w="8193"/>
      </w:tblGrid>
      <w:tr w:rsidR="00BC6CCE" w14:paraId="1C604301" w14:textId="77777777" w:rsidTr="00DF5F00">
        <w:trPr>
          <w:trHeight w:val="709"/>
        </w:trPr>
        <w:tc>
          <w:tcPr>
            <w:tcW w:w="2297" w:type="dxa"/>
            <w:tcBorders>
              <w:right w:val="nil"/>
            </w:tcBorders>
          </w:tcPr>
          <w:p w14:paraId="1A931E2B" w14:textId="77777777" w:rsidR="00BC6CCE" w:rsidRPr="00BC364C" w:rsidRDefault="00BC6CCE">
            <w:pPr>
              <w:spacing w:line="300" w:lineRule="exact"/>
              <w:rPr>
                <w:rFonts w:ascii="楷体" w:hAnsi="楷体" w:cs="楷体"/>
                <w:color w:val="000080"/>
                <w:sz w:val="20"/>
                <w:szCs w:val="20"/>
              </w:rPr>
            </w:pPr>
          </w:p>
        </w:tc>
        <w:tc>
          <w:tcPr>
            <w:tcW w:w="8193" w:type="dxa"/>
            <w:tcBorders>
              <w:top w:val="nil"/>
              <w:left w:val="nil"/>
              <w:right w:val="nil"/>
            </w:tcBorders>
          </w:tcPr>
          <w:p w14:paraId="18F92001" w14:textId="1059186B" w:rsidR="00BC6CCE" w:rsidRDefault="00CE2A3C">
            <w:pPr>
              <w:spacing w:afterLines="50" w:after="156" w:line="280" w:lineRule="exact"/>
              <w:rPr>
                <w:rFonts w:ascii="楷体" w:hAnsi="楷体" w:cs="楷体"/>
                <w:b/>
                <w:bCs/>
                <w:color w:val="004098"/>
                <w:sz w:val="28"/>
                <w:szCs w:val="28"/>
              </w:rPr>
            </w:pPr>
            <w:r>
              <w:rPr>
                <w:rFonts w:ascii="楷体" w:hAnsi="楷体" w:cs="楷体" w:hint="eastAsia"/>
                <w:b/>
                <w:bCs/>
                <w:color w:val="004098"/>
                <w:sz w:val="28"/>
                <w:szCs w:val="28"/>
              </w:rPr>
              <w:t>报告正文</w:t>
            </w:r>
          </w:p>
          <w:p w14:paraId="215C3AFB" w14:textId="77777777" w:rsidR="00DB117B" w:rsidRDefault="00DB117B" w:rsidP="00995D8B">
            <w:pPr>
              <w:pStyle w:val="af0"/>
              <w:spacing w:after="156"/>
              <w:rPr>
                <w:b/>
                <w:bCs/>
              </w:rPr>
            </w:pPr>
            <w:r w:rsidRPr="00DB117B">
              <w:rPr>
                <w:b/>
                <w:bCs/>
              </w:rPr>
              <w:t>2022H1</w:t>
            </w:r>
            <w:r w:rsidRPr="00DB117B">
              <w:rPr>
                <w:rFonts w:hint="eastAsia"/>
                <w:b/>
                <w:bCs/>
              </w:rPr>
              <w:t>盈利约</w:t>
            </w:r>
            <w:r w:rsidRPr="00DB117B">
              <w:rPr>
                <w:b/>
                <w:bCs/>
              </w:rPr>
              <w:t>33.05</w:t>
            </w:r>
            <w:r w:rsidRPr="00DB117B">
              <w:rPr>
                <w:rFonts w:hint="eastAsia"/>
                <w:b/>
                <w:bCs/>
              </w:rPr>
              <w:t>亿港元，同比下降</w:t>
            </w:r>
            <w:r w:rsidRPr="00DB117B">
              <w:rPr>
                <w:b/>
                <w:bCs/>
              </w:rPr>
              <w:t>38.5%</w:t>
            </w:r>
            <w:r w:rsidRPr="00DB117B">
              <w:rPr>
                <w:rFonts w:hint="eastAsia"/>
                <w:b/>
                <w:bCs/>
              </w:rPr>
              <w:t>：</w:t>
            </w:r>
          </w:p>
          <w:p w14:paraId="3F93C4AC" w14:textId="356C9350" w:rsidR="00BC364C" w:rsidRDefault="00BC364C" w:rsidP="00995D8B">
            <w:pPr>
              <w:pStyle w:val="af0"/>
              <w:spacing w:after="156"/>
            </w:pPr>
            <w:r w:rsidRPr="00BC364C">
              <w:rPr>
                <w:rFonts w:hint="eastAsia"/>
              </w:rPr>
              <w:t>2022H1</w:t>
            </w:r>
            <w:r w:rsidRPr="00BC364C">
              <w:rPr>
                <w:rFonts w:hint="eastAsia"/>
              </w:rPr>
              <w:t>公司实现收入</w:t>
            </w:r>
            <w:r w:rsidRPr="00BC364C">
              <w:rPr>
                <w:rFonts w:hint="eastAsia"/>
              </w:rPr>
              <w:t>136.49</w:t>
            </w:r>
            <w:r w:rsidRPr="00BC364C">
              <w:rPr>
                <w:rFonts w:hint="eastAsia"/>
              </w:rPr>
              <w:t>亿港元，同比增长</w:t>
            </w:r>
            <w:r w:rsidRPr="00BC364C">
              <w:rPr>
                <w:rFonts w:hint="eastAsia"/>
              </w:rPr>
              <w:t>0.5%</w:t>
            </w:r>
            <w:r w:rsidRPr="00BC364C">
              <w:rPr>
                <w:rFonts w:hint="eastAsia"/>
              </w:rPr>
              <w:t>；盈利约</w:t>
            </w:r>
            <w:r w:rsidRPr="00BC364C">
              <w:rPr>
                <w:rFonts w:hint="eastAsia"/>
              </w:rPr>
              <w:t>33.05</w:t>
            </w:r>
            <w:r w:rsidRPr="00BC364C">
              <w:rPr>
                <w:rFonts w:hint="eastAsia"/>
              </w:rPr>
              <w:t>亿港元，同比下降</w:t>
            </w:r>
            <w:r w:rsidRPr="00BC364C">
              <w:rPr>
                <w:rFonts w:hint="eastAsia"/>
              </w:rPr>
              <w:t>38.5%</w:t>
            </w:r>
            <w:r w:rsidRPr="00BC364C">
              <w:rPr>
                <w:rFonts w:hint="eastAsia"/>
              </w:rPr>
              <w:t>；每股基本盈利为</w:t>
            </w:r>
            <w:r w:rsidRPr="00BC364C">
              <w:rPr>
                <w:rFonts w:hint="eastAsia"/>
              </w:rPr>
              <w:t>82.1</w:t>
            </w:r>
            <w:r w:rsidRPr="00BC364C">
              <w:rPr>
                <w:rFonts w:hint="eastAsia"/>
              </w:rPr>
              <w:t>港仙，中期派息</w:t>
            </w:r>
            <w:r w:rsidRPr="00BC364C">
              <w:rPr>
                <w:rFonts w:hint="eastAsia"/>
              </w:rPr>
              <w:t>40</w:t>
            </w:r>
            <w:r w:rsidRPr="00BC364C">
              <w:rPr>
                <w:rFonts w:hint="eastAsia"/>
              </w:rPr>
              <w:t>港仙，派息率为</w:t>
            </w:r>
            <w:r w:rsidRPr="00BC364C">
              <w:rPr>
                <w:rFonts w:hint="eastAsia"/>
              </w:rPr>
              <w:t>48.8%</w:t>
            </w:r>
            <w:r w:rsidRPr="00BC364C">
              <w:rPr>
                <w:rFonts w:hint="eastAsia"/>
              </w:rPr>
              <w:t>。</w:t>
            </w:r>
          </w:p>
          <w:p w14:paraId="3C15A42F" w14:textId="6E67F627" w:rsidR="00252AA6" w:rsidRDefault="00BC364C" w:rsidP="00995D8B">
            <w:pPr>
              <w:pStyle w:val="af0"/>
              <w:spacing w:after="156"/>
            </w:pPr>
            <w:r w:rsidRPr="00BC364C">
              <w:rPr>
                <w:rFonts w:hint="eastAsia"/>
              </w:rPr>
              <w:t>2022H1</w:t>
            </w:r>
            <w:r w:rsidRPr="00BC364C">
              <w:rPr>
                <w:rFonts w:hint="eastAsia"/>
              </w:rPr>
              <w:t>公司综合毛利率</w:t>
            </w:r>
            <w:r w:rsidRPr="00BC364C">
              <w:rPr>
                <w:rFonts w:hint="eastAsia"/>
              </w:rPr>
              <w:t>38.4%</w:t>
            </w:r>
            <w:r w:rsidRPr="00BC364C">
              <w:rPr>
                <w:rFonts w:hint="eastAsia"/>
              </w:rPr>
              <w:t>，同比下降</w:t>
            </w:r>
            <w:r w:rsidRPr="00BC364C">
              <w:rPr>
                <w:rFonts w:hint="eastAsia"/>
              </w:rPr>
              <w:t>14.6</w:t>
            </w:r>
            <w:r w:rsidRPr="00BC364C">
              <w:rPr>
                <w:rFonts w:hint="eastAsia"/>
              </w:rPr>
              <w:t>个百分点，其中浮法玻璃毛利率</w:t>
            </w:r>
            <w:r w:rsidRPr="00BC364C">
              <w:rPr>
                <w:rFonts w:hint="eastAsia"/>
              </w:rPr>
              <w:t>34.3%</w:t>
            </w:r>
            <w:r w:rsidRPr="00BC364C">
              <w:rPr>
                <w:rFonts w:hint="eastAsia"/>
              </w:rPr>
              <w:t>（</w:t>
            </w:r>
            <w:r w:rsidRPr="00BC364C">
              <w:rPr>
                <w:rFonts w:hint="eastAsia"/>
              </w:rPr>
              <w:t>2021H1:55.3%</w:t>
            </w:r>
            <w:r w:rsidRPr="00BC364C">
              <w:rPr>
                <w:rFonts w:hint="eastAsia"/>
              </w:rPr>
              <w:t>）。毛利率下降主要因为国内房地产建筑浮法需求受压，同时能源及原材料成本上升所致。期内纯利率由</w:t>
            </w:r>
            <w:r w:rsidRPr="00BC364C">
              <w:rPr>
                <w:rFonts w:hint="eastAsia"/>
              </w:rPr>
              <w:t>39.6%</w:t>
            </w:r>
            <w:r w:rsidRPr="00BC364C">
              <w:rPr>
                <w:rFonts w:hint="eastAsia"/>
              </w:rPr>
              <w:t>下降至</w:t>
            </w:r>
            <w:r w:rsidRPr="00BC364C">
              <w:rPr>
                <w:rFonts w:hint="eastAsia"/>
              </w:rPr>
              <w:t>24.2%</w:t>
            </w:r>
            <w:r w:rsidRPr="00BC364C">
              <w:rPr>
                <w:rFonts w:hint="eastAsia"/>
              </w:rPr>
              <w:t>，主要由于浮法玻璃及建筑玻璃的毛利减少所致。</w:t>
            </w:r>
          </w:p>
          <w:p w14:paraId="48C3D8C8" w14:textId="48A1B987" w:rsidR="005912D4" w:rsidRPr="00252AA6" w:rsidRDefault="005912D4" w:rsidP="00995D8B">
            <w:pPr>
              <w:pStyle w:val="af0"/>
              <w:spacing w:after="156"/>
            </w:pPr>
            <w:r>
              <w:rPr>
                <w:rFonts w:hint="eastAsia"/>
              </w:rPr>
              <w:t>截至</w:t>
            </w:r>
            <w:r>
              <w:rPr>
                <w:rFonts w:hint="eastAsia"/>
              </w:rPr>
              <w:t>2</w:t>
            </w:r>
            <w:r>
              <w:t>022</w:t>
            </w:r>
            <w:r>
              <w:rPr>
                <w:rFonts w:hint="eastAsia"/>
              </w:rPr>
              <w:t>年</w:t>
            </w:r>
            <w:r>
              <w:rPr>
                <w:rFonts w:hint="eastAsia"/>
              </w:rPr>
              <w:t>6</w:t>
            </w:r>
            <w:r>
              <w:rPr>
                <w:rFonts w:hint="eastAsia"/>
              </w:rPr>
              <w:t>月</w:t>
            </w:r>
            <w:r>
              <w:rPr>
                <w:rFonts w:hint="eastAsia"/>
              </w:rPr>
              <w:t>3</w:t>
            </w:r>
            <w:r>
              <w:t>0</w:t>
            </w:r>
            <w:r>
              <w:rPr>
                <w:rFonts w:hint="eastAsia"/>
              </w:rPr>
              <w:t>日，公司在手现金约</w:t>
            </w:r>
            <w:r>
              <w:rPr>
                <w:rFonts w:hint="eastAsia"/>
              </w:rPr>
              <w:t>1</w:t>
            </w:r>
            <w:r>
              <w:t>36</w:t>
            </w:r>
            <w:r>
              <w:rPr>
                <w:rFonts w:hint="eastAsia"/>
              </w:rPr>
              <w:t>亿港元，</w:t>
            </w:r>
            <w:r w:rsidR="0037796B">
              <w:rPr>
                <w:rFonts w:hint="eastAsia"/>
              </w:rPr>
              <w:t>总资产负债率</w:t>
            </w:r>
            <w:r w:rsidR="0037796B">
              <w:rPr>
                <w:rFonts w:hint="eastAsia"/>
              </w:rPr>
              <w:t>4</w:t>
            </w:r>
            <w:r w:rsidR="0037796B">
              <w:t>3.96%</w:t>
            </w:r>
            <w:r w:rsidR="0037796B">
              <w:rPr>
                <w:rFonts w:hint="eastAsia"/>
              </w:rPr>
              <w:t>，净资本负债率</w:t>
            </w:r>
            <w:r w:rsidR="0037796B">
              <w:rPr>
                <w:rFonts w:hint="eastAsia"/>
              </w:rPr>
              <w:t>6</w:t>
            </w:r>
            <w:r w:rsidR="0037796B">
              <w:t>.6%</w:t>
            </w:r>
            <w:r w:rsidR="0037796B">
              <w:rPr>
                <w:rFonts w:hint="eastAsia"/>
              </w:rPr>
              <w:t>。</w:t>
            </w:r>
            <w:r>
              <w:rPr>
                <w:rFonts w:hint="eastAsia"/>
              </w:rPr>
              <w:t>公司</w:t>
            </w:r>
            <w:r>
              <w:rPr>
                <w:rFonts w:hint="eastAsia"/>
              </w:rPr>
              <w:t>2</w:t>
            </w:r>
            <w:r>
              <w:t>022</w:t>
            </w:r>
            <w:r>
              <w:rPr>
                <w:rFonts w:hint="eastAsia"/>
              </w:rPr>
              <w:t>年全年计划资本开支约</w:t>
            </w:r>
            <w:r>
              <w:rPr>
                <w:rFonts w:hint="eastAsia"/>
              </w:rPr>
              <w:t>3</w:t>
            </w:r>
            <w:r>
              <w:t>0</w:t>
            </w:r>
            <w:r>
              <w:rPr>
                <w:rFonts w:hint="eastAsia"/>
              </w:rPr>
              <w:t>亿港元，其中</w:t>
            </w:r>
            <w:r w:rsidRPr="005912D4">
              <w:rPr>
                <w:rFonts w:hint="eastAsia"/>
              </w:rPr>
              <w:t>上半</w:t>
            </w:r>
            <w:r w:rsidR="0037796B">
              <w:rPr>
                <w:rFonts w:hint="eastAsia"/>
              </w:rPr>
              <w:t>年</w:t>
            </w:r>
            <w:r>
              <w:rPr>
                <w:rFonts w:hint="eastAsia"/>
              </w:rPr>
              <w:t>实际</w:t>
            </w:r>
            <w:r w:rsidRPr="005912D4">
              <w:rPr>
                <w:rFonts w:hint="eastAsia"/>
              </w:rPr>
              <w:t>资本性开支约为</w:t>
            </w:r>
            <w:r w:rsidRPr="005912D4">
              <w:rPr>
                <w:rFonts w:hint="eastAsia"/>
              </w:rPr>
              <w:t xml:space="preserve"> 8.67 </w:t>
            </w:r>
            <w:r w:rsidRPr="005912D4">
              <w:rPr>
                <w:rFonts w:hint="eastAsia"/>
              </w:rPr>
              <w:t>亿港元。</w:t>
            </w:r>
          </w:p>
        </w:tc>
      </w:tr>
      <w:tr w:rsidR="008411D8" w14:paraId="48758F42" w14:textId="77777777" w:rsidTr="00DF5F00">
        <w:trPr>
          <w:trHeight w:val="363"/>
        </w:trPr>
        <w:tc>
          <w:tcPr>
            <w:tcW w:w="2297" w:type="dxa"/>
            <w:tcBorders>
              <w:right w:val="nil"/>
            </w:tcBorders>
          </w:tcPr>
          <w:p w14:paraId="025CD655" w14:textId="77777777" w:rsidR="008411D8" w:rsidRPr="006A0DC3" w:rsidRDefault="008411D8" w:rsidP="008411D8">
            <w:pPr>
              <w:spacing w:line="300" w:lineRule="exact"/>
              <w:rPr>
                <w:rFonts w:ascii="楷体" w:hAnsi="楷体" w:cs="楷体"/>
                <w:color w:val="000080"/>
                <w:sz w:val="20"/>
                <w:szCs w:val="20"/>
              </w:rPr>
            </w:pPr>
          </w:p>
        </w:tc>
        <w:tc>
          <w:tcPr>
            <w:tcW w:w="8193" w:type="dxa"/>
            <w:tcBorders>
              <w:top w:val="nil"/>
              <w:left w:val="nil"/>
              <w:bottom w:val="single" w:sz="8" w:space="0" w:color="auto"/>
              <w:right w:val="nil"/>
            </w:tcBorders>
          </w:tcPr>
          <w:p w14:paraId="3E972BBC" w14:textId="6317A544" w:rsidR="008411D8" w:rsidRDefault="008411D8" w:rsidP="003526F2">
            <w:pPr>
              <w:pStyle w:val="-2"/>
              <w:rPr>
                <w:rFonts w:ascii="楷体" w:hAnsi="楷体" w:cs="楷体"/>
                <w:b w:val="0"/>
                <w:bCs/>
                <w:color w:val="004098"/>
                <w:sz w:val="28"/>
                <w:szCs w:val="28"/>
              </w:rPr>
            </w:pPr>
            <w:r w:rsidRPr="002D3078">
              <w:t>表</w:t>
            </w:r>
            <w:r w:rsidR="003526F2">
              <w:t>1</w:t>
            </w:r>
            <w:r w:rsidRPr="002D3078">
              <w:t>：</w:t>
            </w:r>
            <w:r w:rsidR="00BC364C">
              <w:rPr>
                <w:rFonts w:hint="eastAsia"/>
              </w:rPr>
              <w:t>公司历年毛利率和净利率</w:t>
            </w:r>
          </w:p>
        </w:tc>
      </w:tr>
      <w:tr w:rsidR="008411D8" w14:paraId="77743930" w14:textId="77777777" w:rsidTr="00DF5F00">
        <w:tblPrEx>
          <w:tblCellMar>
            <w:left w:w="108" w:type="dxa"/>
            <w:right w:w="108" w:type="dxa"/>
          </w:tblCellMar>
        </w:tblPrEx>
        <w:trPr>
          <w:trHeight w:val="5038"/>
        </w:trPr>
        <w:tc>
          <w:tcPr>
            <w:tcW w:w="2297" w:type="dxa"/>
            <w:tcBorders>
              <w:right w:val="nil"/>
            </w:tcBorders>
          </w:tcPr>
          <w:p w14:paraId="14462594" w14:textId="77777777" w:rsidR="008411D8" w:rsidRPr="006A0DC3" w:rsidRDefault="008411D8" w:rsidP="008411D8">
            <w:pPr>
              <w:spacing w:line="300" w:lineRule="exact"/>
              <w:rPr>
                <w:rFonts w:ascii="楷体" w:hAnsi="楷体" w:cs="楷体"/>
                <w:color w:val="000080"/>
                <w:sz w:val="20"/>
                <w:szCs w:val="20"/>
              </w:rPr>
            </w:pPr>
          </w:p>
        </w:tc>
        <w:tc>
          <w:tcPr>
            <w:tcW w:w="8193" w:type="dxa"/>
            <w:tcBorders>
              <w:top w:val="single" w:sz="8" w:space="0" w:color="auto"/>
              <w:left w:val="nil"/>
              <w:bottom w:val="single" w:sz="8" w:space="0" w:color="auto"/>
              <w:right w:val="nil"/>
            </w:tcBorders>
            <w:vAlign w:val="center"/>
          </w:tcPr>
          <w:p w14:paraId="621C6C51" w14:textId="44D33E6A" w:rsidR="00BC364C" w:rsidRPr="00BC364C" w:rsidRDefault="00BC364C" w:rsidP="0037796B">
            <w:pPr>
              <w:spacing w:line="280" w:lineRule="exact"/>
              <w:rPr>
                <w:rFonts w:ascii="楷体" w:hAnsi="楷体" w:cs="楷体"/>
                <w:b/>
                <w:bCs/>
                <w:color w:val="004098"/>
                <w:sz w:val="22"/>
              </w:rPr>
            </w:pPr>
            <w:r>
              <w:rPr>
                <w:noProof/>
              </w:rPr>
              <w:drawing>
                <wp:anchor distT="0" distB="0" distL="114300" distR="114300" simplePos="0" relativeHeight="306141184" behindDoc="0" locked="0" layoutInCell="1" allowOverlap="1" wp14:anchorId="5EC9513E" wp14:editId="1A705007">
                  <wp:simplePos x="0" y="0"/>
                  <wp:positionH relativeFrom="column">
                    <wp:posOffset>-1905</wp:posOffset>
                  </wp:positionH>
                  <wp:positionV relativeFrom="paragraph">
                    <wp:posOffset>-2626995</wp:posOffset>
                  </wp:positionV>
                  <wp:extent cx="4857750" cy="2762250"/>
                  <wp:effectExtent l="0" t="0" r="0" b="0"/>
                  <wp:wrapSquare wrapText="bothSides"/>
                  <wp:docPr id="1" name="图表 1">
                    <a:extLst xmlns:a="http://schemas.openxmlformats.org/drawingml/2006/main">
                      <a:ext uri="{FF2B5EF4-FFF2-40B4-BE49-F238E27FC236}">
                        <a16:creationId xmlns:a16="http://schemas.microsoft.com/office/drawing/2014/main" id="{038BA7FE-1EA4-B7D2-C288-754DA1E4FE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r>
      <w:tr w:rsidR="008411D8" w14:paraId="3920F641" w14:textId="77777777" w:rsidTr="003526F2">
        <w:trPr>
          <w:trHeight w:val="351"/>
        </w:trPr>
        <w:tc>
          <w:tcPr>
            <w:tcW w:w="2297" w:type="dxa"/>
            <w:tcBorders>
              <w:right w:val="nil"/>
            </w:tcBorders>
          </w:tcPr>
          <w:p w14:paraId="57F20998" w14:textId="77777777" w:rsidR="008411D8" w:rsidRPr="006A0DC3" w:rsidRDefault="008411D8" w:rsidP="008411D8">
            <w:pPr>
              <w:spacing w:line="300" w:lineRule="exact"/>
              <w:rPr>
                <w:rFonts w:ascii="楷体" w:hAnsi="楷体" w:cs="楷体"/>
                <w:color w:val="000080"/>
                <w:sz w:val="20"/>
                <w:szCs w:val="20"/>
              </w:rPr>
            </w:pPr>
          </w:p>
        </w:tc>
        <w:tc>
          <w:tcPr>
            <w:tcW w:w="8193" w:type="dxa"/>
            <w:tcBorders>
              <w:top w:val="single" w:sz="8" w:space="0" w:color="auto"/>
              <w:left w:val="nil"/>
              <w:right w:val="nil"/>
            </w:tcBorders>
          </w:tcPr>
          <w:p w14:paraId="7B66FDBB" w14:textId="4D34935D" w:rsidR="008411D8" w:rsidRDefault="008411D8" w:rsidP="008411D8">
            <w:pPr>
              <w:pStyle w:val="af9"/>
              <w:rPr>
                <w:rFonts w:ascii="楷体" w:hAnsi="楷体" w:cs="楷体"/>
                <w:b/>
                <w:bCs/>
                <w:color w:val="004098"/>
                <w:sz w:val="28"/>
                <w:szCs w:val="28"/>
              </w:rPr>
            </w:pPr>
            <w:r w:rsidRPr="002D3078">
              <w:t>数据来源：</w:t>
            </w:r>
            <w:r>
              <w:rPr>
                <w:rFonts w:hint="eastAsia"/>
              </w:rPr>
              <w:t>公司公告</w:t>
            </w:r>
            <w:r w:rsidRPr="002D3078">
              <w:rPr>
                <w:rFonts w:hint="eastAsia"/>
              </w:rPr>
              <w:t>、国元证券经纪（香港）整理</w:t>
            </w:r>
          </w:p>
        </w:tc>
      </w:tr>
      <w:tr w:rsidR="008411D8" w14:paraId="42EDB62C" w14:textId="77777777" w:rsidTr="00767529">
        <w:trPr>
          <w:trHeight w:val="90"/>
        </w:trPr>
        <w:tc>
          <w:tcPr>
            <w:tcW w:w="2297" w:type="dxa"/>
            <w:tcBorders>
              <w:top w:val="nil"/>
              <w:left w:val="nil"/>
              <w:bottom w:val="nil"/>
              <w:right w:val="nil"/>
            </w:tcBorders>
          </w:tcPr>
          <w:p w14:paraId="20372DB4" w14:textId="77777777" w:rsidR="008411D8" w:rsidRDefault="008411D8" w:rsidP="008411D8">
            <w:pPr>
              <w:pStyle w:val="af6"/>
            </w:pPr>
          </w:p>
        </w:tc>
        <w:tc>
          <w:tcPr>
            <w:tcW w:w="8193" w:type="dxa"/>
            <w:tcBorders>
              <w:top w:val="nil"/>
              <w:left w:val="nil"/>
              <w:right w:val="nil"/>
            </w:tcBorders>
          </w:tcPr>
          <w:p w14:paraId="0E91527E" w14:textId="5898FDD8" w:rsidR="00BC364C" w:rsidRDefault="00BC364C" w:rsidP="008411D8">
            <w:pPr>
              <w:pStyle w:val="af0"/>
              <w:spacing w:after="156"/>
              <w:rPr>
                <w:b/>
                <w:bCs/>
                <w:szCs w:val="20"/>
              </w:rPr>
            </w:pPr>
            <w:r w:rsidRPr="00BC364C">
              <w:rPr>
                <w:b/>
                <w:bCs/>
                <w:szCs w:val="20"/>
              </w:rPr>
              <w:t>2022Q3</w:t>
            </w:r>
            <w:r w:rsidRPr="00BC364C">
              <w:rPr>
                <w:rFonts w:hint="eastAsia"/>
                <w:b/>
                <w:bCs/>
                <w:szCs w:val="20"/>
              </w:rPr>
              <w:t>冷修，短期内浮法玻璃价格下行有限，</w:t>
            </w:r>
            <w:r w:rsidR="009C0DE7">
              <w:rPr>
                <w:rFonts w:hint="eastAsia"/>
                <w:b/>
                <w:bCs/>
                <w:szCs w:val="20"/>
              </w:rPr>
              <w:t>但</w:t>
            </w:r>
            <w:r w:rsidRPr="00BC364C">
              <w:rPr>
                <w:rFonts w:hint="eastAsia"/>
                <w:b/>
                <w:bCs/>
                <w:szCs w:val="20"/>
              </w:rPr>
              <w:t>周期反转尚待时日：</w:t>
            </w:r>
          </w:p>
          <w:p w14:paraId="1315B5D7" w14:textId="2AFB87B1" w:rsidR="00455A15" w:rsidRPr="00DD5256" w:rsidRDefault="00BC364C" w:rsidP="008411D8">
            <w:pPr>
              <w:pStyle w:val="af0"/>
              <w:spacing w:after="156"/>
            </w:pPr>
            <w:r w:rsidRPr="00BC364C">
              <w:rPr>
                <w:rFonts w:hint="eastAsia"/>
              </w:rPr>
              <w:t>受房地产需求，疫情影响叠加能源及原材料成本上升，浮法玻璃价格自</w:t>
            </w:r>
            <w:r w:rsidRPr="00BC364C">
              <w:rPr>
                <w:rFonts w:hint="eastAsia"/>
              </w:rPr>
              <w:t>2021Q2</w:t>
            </w:r>
            <w:r w:rsidRPr="00BC364C">
              <w:rPr>
                <w:rFonts w:hint="eastAsia"/>
              </w:rPr>
              <w:t>开始从高位持续下降，行业进入盈利低谷，大面积亏损带来</w:t>
            </w:r>
            <w:r w:rsidRPr="00BC364C">
              <w:rPr>
                <w:rFonts w:hint="eastAsia"/>
              </w:rPr>
              <w:t>2022Q3</w:t>
            </w:r>
            <w:r w:rsidRPr="00BC364C">
              <w:rPr>
                <w:rFonts w:hint="eastAsia"/>
              </w:rPr>
              <w:t>冷修，供给减少消化库存，短期供需有望改善，浮法玻璃价格将得到一定程度支撑，再度下行空间有限，但价格走出低谷主要还取决于需求的改善。最新行业数据显示，全国浮法玻璃样本企业总库存</w:t>
            </w:r>
            <w:r w:rsidRPr="00BC364C">
              <w:rPr>
                <w:rFonts w:hint="eastAsia"/>
              </w:rPr>
              <w:t>8111.4</w:t>
            </w:r>
            <w:r w:rsidRPr="00BC364C">
              <w:rPr>
                <w:rFonts w:hint="eastAsia"/>
              </w:rPr>
              <w:t>万重箱，折库存天数</w:t>
            </w:r>
            <w:r w:rsidRPr="00BC364C">
              <w:rPr>
                <w:rFonts w:hint="eastAsia"/>
              </w:rPr>
              <w:t>40.4</w:t>
            </w:r>
            <w:r w:rsidRPr="00BC364C">
              <w:rPr>
                <w:rFonts w:hint="eastAsia"/>
              </w:rPr>
              <w:t>天，行业周期反转尚待时日。</w:t>
            </w:r>
          </w:p>
        </w:tc>
      </w:tr>
      <w:tr w:rsidR="00BC364C" w14:paraId="269DBCF5" w14:textId="77777777" w:rsidTr="00767529">
        <w:trPr>
          <w:trHeight w:val="90"/>
        </w:trPr>
        <w:tc>
          <w:tcPr>
            <w:tcW w:w="2297" w:type="dxa"/>
            <w:tcBorders>
              <w:top w:val="nil"/>
              <w:left w:val="nil"/>
              <w:bottom w:val="nil"/>
              <w:right w:val="nil"/>
            </w:tcBorders>
          </w:tcPr>
          <w:p w14:paraId="0062B1FA" w14:textId="77777777" w:rsidR="00BC364C" w:rsidRDefault="00BC364C" w:rsidP="008411D8">
            <w:pPr>
              <w:pStyle w:val="af6"/>
            </w:pPr>
          </w:p>
        </w:tc>
        <w:tc>
          <w:tcPr>
            <w:tcW w:w="8193" w:type="dxa"/>
            <w:tcBorders>
              <w:top w:val="nil"/>
              <w:left w:val="nil"/>
              <w:right w:val="nil"/>
            </w:tcBorders>
          </w:tcPr>
          <w:p w14:paraId="5EB5AEF3" w14:textId="77777777" w:rsidR="0037796B" w:rsidRDefault="0037796B" w:rsidP="00BC364C">
            <w:pPr>
              <w:pStyle w:val="af0"/>
              <w:spacing w:after="156"/>
              <w:rPr>
                <w:b/>
                <w:bCs/>
                <w:szCs w:val="20"/>
              </w:rPr>
            </w:pPr>
            <w:r w:rsidRPr="0037796B">
              <w:rPr>
                <w:rFonts w:hint="eastAsia"/>
                <w:b/>
                <w:bCs/>
                <w:szCs w:val="20"/>
              </w:rPr>
              <w:t>浮法玻璃龙头规模效益显著，深加工业务差异化竞争优势明显：</w:t>
            </w:r>
          </w:p>
          <w:p w14:paraId="65526FF3" w14:textId="78653BD7" w:rsidR="00BC364C" w:rsidRPr="00BC364C" w:rsidRDefault="00BC364C" w:rsidP="00BC364C">
            <w:pPr>
              <w:pStyle w:val="af0"/>
              <w:spacing w:after="156"/>
              <w:rPr>
                <w:b/>
                <w:bCs/>
                <w:szCs w:val="20"/>
              </w:rPr>
            </w:pPr>
            <w:r w:rsidRPr="00BC364C">
              <w:rPr>
                <w:rFonts w:hint="eastAsia"/>
              </w:rPr>
              <w:t>2022H1</w:t>
            </w:r>
            <w:r w:rsidRPr="00BC364C">
              <w:rPr>
                <w:rFonts w:hint="eastAsia"/>
              </w:rPr>
              <w:t>在行业盈利周期低谷，公司规模成本控制能力，使得浮法玻璃盈利显著领先行业。同时深工业业务方面，公司汽车玻璃表现型业务良好，受益差异化竞争的产品结构，收入和毛利分别同比增长</w:t>
            </w:r>
            <w:r w:rsidRPr="00BC364C">
              <w:rPr>
                <w:rFonts w:hint="eastAsia"/>
              </w:rPr>
              <w:t>14%</w:t>
            </w:r>
            <w:r w:rsidRPr="00BC364C">
              <w:rPr>
                <w:rFonts w:hint="eastAsia"/>
              </w:rPr>
              <w:t>和</w:t>
            </w:r>
            <w:r w:rsidRPr="00BC364C">
              <w:rPr>
                <w:rFonts w:hint="eastAsia"/>
              </w:rPr>
              <w:t>17%</w:t>
            </w:r>
            <w:r w:rsidRPr="00BC364C">
              <w:rPr>
                <w:rFonts w:hint="eastAsia"/>
              </w:rPr>
              <w:t>，毛利率</w:t>
            </w:r>
            <w:r w:rsidRPr="00BC364C">
              <w:rPr>
                <w:rFonts w:hint="eastAsia"/>
              </w:rPr>
              <w:t>50.6%</w:t>
            </w:r>
            <w:r w:rsidRPr="00BC364C">
              <w:rPr>
                <w:rFonts w:hint="eastAsia"/>
              </w:rPr>
              <w:t>（</w:t>
            </w:r>
            <w:r w:rsidRPr="00BC364C">
              <w:rPr>
                <w:rFonts w:hint="eastAsia"/>
              </w:rPr>
              <w:t>2021H1:49.3%</w:t>
            </w:r>
            <w:r w:rsidRPr="00BC364C">
              <w:rPr>
                <w:rFonts w:hint="eastAsia"/>
              </w:rPr>
              <w:t>）。</w:t>
            </w:r>
          </w:p>
        </w:tc>
      </w:tr>
      <w:tr w:rsidR="003526F2" w14:paraId="395BC18A" w14:textId="77777777" w:rsidTr="00767529">
        <w:trPr>
          <w:trHeight w:val="90"/>
        </w:trPr>
        <w:tc>
          <w:tcPr>
            <w:tcW w:w="2297" w:type="dxa"/>
            <w:tcBorders>
              <w:top w:val="nil"/>
              <w:left w:val="nil"/>
              <w:bottom w:val="nil"/>
              <w:right w:val="nil"/>
            </w:tcBorders>
          </w:tcPr>
          <w:p w14:paraId="752B9EA9" w14:textId="77777777" w:rsidR="003526F2" w:rsidRDefault="003526F2" w:rsidP="003526F2">
            <w:pPr>
              <w:pStyle w:val="af6"/>
            </w:pPr>
          </w:p>
        </w:tc>
        <w:tc>
          <w:tcPr>
            <w:tcW w:w="8193" w:type="dxa"/>
            <w:tcBorders>
              <w:top w:val="nil"/>
              <w:left w:val="nil"/>
              <w:bottom w:val="single" w:sz="8" w:space="0" w:color="auto"/>
              <w:right w:val="nil"/>
            </w:tcBorders>
          </w:tcPr>
          <w:p w14:paraId="25729F73" w14:textId="35F9BABC" w:rsidR="003526F2" w:rsidRDefault="0037796B" w:rsidP="00DE5044">
            <w:pPr>
              <w:pStyle w:val="-2"/>
              <w:rPr>
                <w:b w:val="0"/>
                <w:bCs/>
              </w:rPr>
            </w:pPr>
            <w:r>
              <w:rPr>
                <w:rFonts w:hint="eastAsia"/>
              </w:rPr>
              <w:t>表</w:t>
            </w:r>
            <w:r>
              <w:rPr>
                <w:rFonts w:hint="eastAsia"/>
              </w:rPr>
              <w:t>2</w:t>
            </w:r>
            <w:r w:rsidR="003526F2" w:rsidRPr="002D3078">
              <w:t>：</w:t>
            </w:r>
            <w:r w:rsidR="00455A15">
              <w:rPr>
                <w:rFonts w:hint="eastAsia"/>
              </w:rPr>
              <w:t>公司</w:t>
            </w:r>
            <w:proofErr w:type="gramStart"/>
            <w:r w:rsidR="001F143E">
              <w:rPr>
                <w:rFonts w:hint="eastAsia"/>
              </w:rPr>
              <w:t>分业务</w:t>
            </w:r>
            <w:proofErr w:type="gramEnd"/>
            <w:r>
              <w:rPr>
                <w:rFonts w:hint="eastAsia"/>
              </w:rPr>
              <w:t>收入和毛利</w:t>
            </w:r>
            <w:r w:rsidR="001F143E">
              <w:rPr>
                <w:rFonts w:hint="eastAsia"/>
              </w:rPr>
              <w:t>率</w:t>
            </w:r>
          </w:p>
        </w:tc>
      </w:tr>
      <w:tr w:rsidR="003526F2" w14:paraId="77F607BF" w14:textId="77777777" w:rsidTr="00BC364C">
        <w:tblPrEx>
          <w:tblCellMar>
            <w:left w:w="108" w:type="dxa"/>
            <w:right w:w="108" w:type="dxa"/>
          </w:tblCellMar>
        </w:tblPrEx>
        <w:trPr>
          <w:trHeight w:val="90"/>
        </w:trPr>
        <w:tc>
          <w:tcPr>
            <w:tcW w:w="2297" w:type="dxa"/>
            <w:tcBorders>
              <w:top w:val="nil"/>
              <w:left w:val="nil"/>
              <w:bottom w:val="nil"/>
              <w:right w:val="nil"/>
            </w:tcBorders>
          </w:tcPr>
          <w:p w14:paraId="20BCD610" w14:textId="77777777" w:rsidR="003526F2" w:rsidRDefault="003526F2" w:rsidP="003526F2">
            <w:pPr>
              <w:pStyle w:val="af6"/>
            </w:pPr>
          </w:p>
        </w:tc>
        <w:tc>
          <w:tcPr>
            <w:tcW w:w="8193" w:type="dxa"/>
            <w:tcBorders>
              <w:top w:val="single" w:sz="8" w:space="0" w:color="auto"/>
              <w:left w:val="nil"/>
              <w:bottom w:val="single" w:sz="8" w:space="0" w:color="auto"/>
              <w:right w:val="nil"/>
            </w:tcBorders>
            <w:vAlign w:val="center"/>
          </w:tcPr>
          <w:tbl>
            <w:tblPr>
              <w:tblStyle w:val="1-1"/>
              <w:tblW w:w="6362" w:type="dxa"/>
              <w:tblLayout w:type="fixed"/>
              <w:tblLook w:val="04A0" w:firstRow="1" w:lastRow="0" w:firstColumn="1" w:lastColumn="0" w:noHBand="0" w:noVBand="1"/>
            </w:tblPr>
            <w:tblGrid>
              <w:gridCol w:w="2389"/>
              <w:gridCol w:w="1240"/>
              <w:gridCol w:w="1240"/>
              <w:gridCol w:w="1493"/>
            </w:tblGrid>
            <w:tr w:rsidR="001F143E" w:rsidRPr="001F143E" w14:paraId="2C066207" w14:textId="77777777" w:rsidTr="001F143E">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389" w:type="dxa"/>
                  <w:noWrap/>
                  <w:hideMark/>
                </w:tcPr>
                <w:p w14:paraId="518E7EE4" w14:textId="77777777" w:rsidR="001F143E" w:rsidRPr="001F143E" w:rsidRDefault="001F143E" w:rsidP="001F143E">
                  <w:pPr>
                    <w:widowControl/>
                    <w:jc w:val="left"/>
                    <w:rPr>
                      <w:rFonts w:ascii="楷体" w:hAnsi="楷体" w:cs="Times New Roman"/>
                      <w:color w:val="000000"/>
                      <w:kern w:val="0"/>
                      <w:sz w:val="22"/>
                    </w:rPr>
                  </w:pPr>
                  <w:r w:rsidRPr="001F143E">
                    <w:rPr>
                      <w:rFonts w:ascii="楷体" w:hAnsi="楷体" w:cs="Times New Roman"/>
                      <w:color w:val="000000"/>
                      <w:kern w:val="0"/>
                      <w:sz w:val="22"/>
                    </w:rPr>
                    <w:t>收入（百万港元）</w:t>
                  </w:r>
                </w:p>
              </w:tc>
              <w:tc>
                <w:tcPr>
                  <w:tcW w:w="1240" w:type="dxa"/>
                  <w:noWrap/>
                  <w:hideMark/>
                </w:tcPr>
                <w:p w14:paraId="62A6C233" w14:textId="77777777" w:rsidR="001F143E" w:rsidRPr="001F143E" w:rsidRDefault="001F143E" w:rsidP="001F143E">
                  <w:pPr>
                    <w:widowControl/>
                    <w:jc w:val="center"/>
                    <w:cnfStyle w:val="100000000000" w:firstRow="1"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2022</w:t>
                  </w:r>
                </w:p>
              </w:tc>
              <w:tc>
                <w:tcPr>
                  <w:tcW w:w="1240" w:type="dxa"/>
                  <w:noWrap/>
                  <w:hideMark/>
                </w:tcPr>
                <w:p w14:paraId="32750268" w14:textId="77777777" w:rsidR="001F143E" w:rsidRPr="001F143E" w:rsidRDefault="001F143E" w:rsidP="001F143E">
                  <w:pPr>
                    <w:widowControl/>
                    <w:jc w:val="center"/>
                    <w:cnfStyle w:val="100000000000" w:firstRow="1"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2021</w:t>
                  </w:r>
                </w:p>
              </w:tc>
              <w:tc>
                <w:tcPr>
                  <w:tcW w:w="1493" w:type="dxa"/>
                  <w:noWrap/>
                  <w:hideMark/>
                </w:tcPr>
                <w:p w14:paraId="4DEA2E7D" w14:textId="77777777" w:rsidR="001F143E" w:rsidRPr="001F143E" w:rsidRDefault="001F143E" w:rsidP="001F143E">
                  <w:pPr>
                    <w:widowControl/>
                    <w:jc w:val="center"/>
                    <w:cnfStyle w:val="100000000000" w:firstRow="1"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2022 占比</w:t>
                  </w:r>
                </w:p>
              </w:tc>
            </w:tr>
            <w:tr w:rsidR="001F143E" w:rsidRPr="001F143E" w14:paraId="1D6212D1" w14:textId="77777777" w:rsidTr="001F143E">
              <w:trPr>
                <w:trHeight w:val="376"/>
              </w:trPr>
              <w:tc>
                <w:tcPr>
                  <w:cnfStyle w:val="001000000000" w:firstRow="0" w:lastRow="0" w:firstColumn="1" w:lastColumn="0" w:oddVBand="0" w:evenVBand="0" w:oddHBand="0" w:evenHBand="0" w:firstRowFirstColumn="0" w:firstRowLastColumn="0" w:lastRowFirstColumn="0" w:lastRowLastColumn="0"/>
                  <w:tcW w:w="2389" w:type="dxa"/>
                  <w:noWrap/>
                  <w:hideMark/>
                </w:tcPr>
                <w:p w14:paraId="0BEB809C" w14:textId="77777777" w:rsidR="001F143E" w:rsidRPr="001F143E" w:rsidRDefault="001F143E" w:rsidP="001F143E">
                  <w:pPr>
                    <w:widowControl/>
                    <w:jc w:val="left"/>
                    <w:rPr>
                      <w:rFonts w:ascii="楷体" w:hAnsi="楷体" w:cs="Times New Roman"/>
                      <w:color w:val="000000"/>
                      <w:kern w:val="0"/>
                      <w:sz w:val="22"/>
                    </w:rPr>
                  </w:pPr>
                  <w:r w:rsidRPr="001F143E">
                    <w:rPr>
                      <w:rFonts w:ascii="楷体" w:hAnsi="楷体" w:cs="Times New Roman"/>
                      <w:color w:val="000000"/>
                      <w:kern w:val="0"/>
                      <w:sz w:val="22"/>
                    </w:rPr>
                    <w:t>浮法玻璃</w:t>
                  </w:r>
                </w:p>
              </w:tc>
              <w:tc>
                <w:tcPr>
                  <w:tcW w:w="1240" w:type="dxa"/>
                  <w:noWrap/>
                  <w:hideMark/>
                </w:tcPr>
                <w:p w14:paraId="64B1A0E2"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9231.1</w:t>
                  </w:r>
                </w:p>
              </w:tc>
              <w:tc>
                <w:tcPr>
                  <w:tcW w:w="1240" w:type="dxa"/>
                  <w:noWrap/>
                  <w:hideMark/>
                </w:tcPr>
                <w:p w14:paraId="0D75F17F"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9628.5</w:t>
                  </w:r>
                </w:p>
              </w:tc>
              <w:tc>
                <w:tcPr>
                  <w:tcW w:w="1493" w:type="dxa"/>
                  <w:noWrap/>
                  <w:hideMark/>
                </w:tcPr>
                <w:p w14:paraId="00BE3E20"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67.60%</w:t>
                  </w:r>
                </w:p>
              </w:tc>
            </w:tr>
            <w:tr w:rsidR="001F143E" w:rsidRPr="001F143E" w14:paraId="62BE7C22" w14:textId="77777777" w:rsidTr="001F143E">
              <w:trPr>
                <w:trHeight w:val="376"/>
              </w:trPr>
              <w:tc>
                <w:tcPr>
                  <w:cnfStyle w:val="001000000000" w:firstRow="0" w:lastRow="0" w:firstColumn="1" w:lastColumn="0" w:oddVBand="0" w:evenVBand="0" w:oddHBand="0" w:evenHBand="0" w:firstRowFirstColumn="0" w:firstRowLastColumn="0" w:lastRowFirstColumn="0" w:lastRowLastColumn="0"/>
                  <w:tcW w:w="2389" w:type="dxa"/>
                  <w:noWrap/>
                  <w:hideMark/>
                </w:tcPr>
                <w:p w14:paraId="56789073" w14:textId="77777777" w:rsidR="001F143E" w:rsidRPr="001F143E" w:rsidRDefault="001F143E" w:rsidP="001F143E">
                  <w:pPr>
                    <w:widowControl/>
                    <w:jc w:val="left"/>
                    <w:rPr>
                      <w:rFonts w:ascii="楷体" w:hAnsi="楷体" w:cs="Times New Roman"/>
                      <w:color w:val="000000"/>
                      <w:kern w:val="0"/>
                      <w:sz w:val="22"/>
                    </w:rPr>
                  </w:pPr>
                  <w:r w:rsidRPr="001F143E">
                    <w:rPr>
                      <w:rFonts w:ascii="楷体" w:hAnsi="楷体" w:cs="Times New Roman"/>
                      <w:color w:val="000000"/>
                      <w:kern w:val="0"/>
                      <w:sz w:val="22"/>
                    </w:rPr>
                    <w:t>汽车玻璃</w:t>
                  </w:r>
                </w:p>
              </w:tc>
              <w:tc>
                <w:tcPr>
                  <w:tcW w:w="1240" w:type="dxa"/>
                  <w:noWrap/>
                  <w:hideMark/>
                </w:tcPr>
                <w:p w14:paraId="6A4A7DC7"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2947</w:t>
                  </w:r>
                </w:p>
              </w:tc>
              <w:tc>
                <w:tcPr>
                  <w:tcW w:w="1240" w:type="dxa"/>
                  <w:noWrap/>
                  <w:hideMark/>
                </w:tcPr>
                <w:p w14:paraId="46C83653"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2584.5</w:t>
                  </w:r>
                </w:p>
              </w:tc>
              <w:tc>
                <w:tcPr>
                  <w:tcW w:w="1493" w:type="dxa"/>
                  <w:noWrap/>
                  <w:hideMark/>
                </w:tcPr>
                <w:p w14:paraId="09D8F1BC"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21.60%</w:t>
                  </w:r>
                </w:p>
              </w:tc>
            </w:tr>
            <w:tr w:rsidR="001F143E" w:rsidRPr="001F143E" w14:paraId="4DFFA421" w14:textId="77777777" w:rsidTr="001F143E">
              <w:trPr>
                <w:trHeight w:val="376"/>
              </w:trPr>
              <w:tc>
                <w:tcPr>
                  <w:cnfStyle w:val="001000000000" w:firstRow="0" w:lastRow="0" w:firstColumn="1" w:lastColumn="0" w:oddVBand="0" w:evenVBand="0" w:oddHBand="0" w:evenHBand="0" w:firstRowFirstColumn="0" w:firstRowLastColumn="0" w:lastRowFirstColumn="0" w:lastRowLastColumn="0"/>
                  <w:tcW w:w="2389" w:type="dxa"/>
                  <w:noWrap/>
                  <w:hideMark/>
                </w:tcPr>
                <w:p w14:paraId="40ACFF17" w14:textId="77777777" w:rsidR="001F143E" w:rsidRPr="001F143E" w:rsidRDefault="001F143E" w:rsidP="001F143E">
                  <w:pPr>
                    <w:widowControl/>
                    <w:jc w:val="left"/>
                    <w:rPr>
                      <w:rFonts w:ascii="楷体" w:hAnsi="楷体" w:cs="Times New Roman"/>
                      <w:color w:val="000000"/>
                      <w:kern w:val="0"/>
                      <w:sz w:val="22"/>
                    </w:rPr>
                  </w:pPr>
                  <w:r w:rsidRPr="001F143E">
                    <w:rPr>
                      <w:rFonts w:ascii="楷体" w:hAnsi="楷体" w:cs="Times New Roman"/>
                      <w:color w:val="000000"/>
                      <w:kern w:val="0"/>
                      <w:sz w:val="22"/>
                    </w:rPr>
                    <w:t>建筑工程玻璃</w:t>
                  </w:r>
                </w:p>
              </w:tc>
              <w:tc>
                <w:tcPr>
                  <w:tcW w:w="1240" w:type="dxa"/>
                  <w:noWrap/>
                  <w:hideMark/>
                </w:tcPr>
                <w:p w14:paraId="47C2EDEC"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1471.3</w:t>
                  </w:r>
                </w:p>
              </w:tc>
              <w:tc>
                <w:tcPr>
                  <w:tcW w:w="1240" w:type="dxa"/>
                  <w:noWrap/>
                  <w:hideMark/>
                </w:tcPr>
                <w:p w14:paraId="1C2E4509"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1362.5</w:t>
                  </w:r>
                </w:p>
              </w:tc>
              <w:tc>
                <w:tcPr>
                  <w:tcW w:w="1493" w:type="dxa"/>
                  <w:noWrap/>
                  <w:hideMark/>
                </w:tcPr>
                <w:p w14:paraId="361B3CFE"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10.80%</w:t>
                  </w:r>
                </w:p>
              </w:tc>
            </w:tr>
            <w:tr w:rsidR="001F143E" w:rsidRPr="001F143E" w14:paraId="21AC204F" w14:textId="77777777" w:rsidTr="001F143E">
              <w:trPr>
                <w:trHeight w:val="376"/>
              </w:trPr>
              <w:tc>
                <w:tcPr>
                  <w:cnfStyle w:val="001000000000" w:firstRow="0" w:lastRow="0" w:firstColumn="1" w:lastColumn="0" w:oddVBand="0" w:evenVBand="0" w:oddHBand="0" w:evenHBand="0" w:firstRowFirstColumn="0" w:firstRowLastColumn="0" w:lastRowFirstColumn="0" w:lastRowLastColumn="0"/>
                  <w:tcW w:w="2389" w:type="dxa"/>
                  <w:noWrap/>
                  <w:hideMark/>
                </w:tcPr>
                <w:p w14:paraId="6348673E" w14:textId="77777777" w:rsidR="001F143E" w:rsidRPr="001F143E" w:rsidRDefault="001F143E" w:rsidP="001F143E">
                  <w:pPr>
                    <w:widowControl/>
                    <w:jc w:val="right"/>
                    <w:rPr>
                      <w:rFonts w:ascii="楷体" w:hAnsi="楷体" w:cs="Times New Roman"/>
                      <w:color w:val="000000"/>
                      <w:kern w:val="0"/>
                      <w:sz w:val="22"/>
                    </w:rPr>
                  </w:pPr>
                </w:p>
              </w:tc>
              <w:tc>
                <w:tcPr>
                  <w:tcW w:w="1240" w:type="dxa"/>
                  <w:noWrap/>
                  <w:hideMark/>
                </w:tcPr>
                <w:p w14:paraId="6BADACE2"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kern w:val="0"/>
                      <w:sz w:val="20"/>
                      <w:szCs w:val="20"/>
                    </w:rPr>
                  </w:pPr>
                </w:p>
              </w:tc>
              <w:tc>
                <w:tcPr>
                  <w:tcW w:w="1240" w:type="dxa"/>
                  <w:noWrap/>
                  <w:hideMark/>
                </w:tcPr>
                <w:p w14:paraId="00CE4182"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kern w:val="0"/>
                      <w:sz w:val="20"/>
                      <w:szCs w:val="20"/>
                    </w:rPr>
                  </w:pPr>
                </w:p>
              </w:tc>
              <w:tc>
                <w:tcPr>
                  <w:tcW w:w="1493" w:type="dxa"/>
                  <w:noWrap/>
                  <w:hideMark/>
                </w:tcPr>
                <w:p w14:paraId="03B3BED2"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kern w:val="0"/>
                      <w:sz w:val="20"/>
                      <w:szCs w:val="20"/>
                    </w:rPr>
                  </w:pPr>
                </w:p>
              </w:tc>
            </w:tr>
            <w:tr w:rsidR="001F143E" w:rsidRPr="001F143E" w14:paraId="09C263B3" w14:textId="77777777" w:rsidTr="001F143E">
              <w:trPr>
                <w:trHeight w:val="376"/>
              </w:trPr>
              <w:tc>
                <w:tcPr>
                  <w:cnfStyle w:val="001000000000" w:firstRow="0" w:lastRow="0" w:firstColumn="1" w:lastColumn="0" w:oddVBand="0" w:evenVBand="0" w:oddHBand="0" w:evenHBand="0" w:firstRowFirstColumn="0" w:firstRowLastColumn="0" w:lastRowFirstColumn="0" w:lastRowLastColumn="0"/>
                  <w:tcW w:w="2389" w:type="dxa"/>
                  <w:noWrap/>
                  <w:hideMark/>
                </w:tcPr>
                <w:p w14:paraId="63604781" w14:textId="77777777" w:rsidR="001F143E" w:rsidRPr="001F143E" w:rsidRDefault="001F143E" w:rsidP="001F143E">
                  <w:pPr>
                    <w:widowControl/>
                    <w:jc w:val="left"/>
                    <w:rPr>
                      <w:rFonts w:ascii="楷体" w:hAnsi="楷体" w:cs="Times New Roman"/>
                      <w:color w:val="000000"/>
                      <w:kern w:val="0"/>
                      <w:sz w:val="22"/>
                    </w:rPr>
                  </w:pPr>
                  <w:r w:rsidRPr="001F143E">
                    <w:rPr>
                      <w:rFonts w:ascii="楷体" w:hAnsi="楷体" w:cs="Times New Roman"/>
                      <w:color w:val="000000"/>
                      <w:kern w:val="0"/>
                      <w:sz w:val="22"/>
                    </w:rPr>
                    <w:t>毛利率</w:t>
                  </w:r>
                </w:p>
              </w:tc>
              <w:tc>
                <w:tcPr>
                  <w:tcW w:w="1240" w:type="dxa"/>
                  <w:noWrap/>
                  <w:hideMark/>
                </w:tcPr>
                <w:p w14:paraId="7FA40161"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2022</w:t>
                  </w:r>
                </w:p>
              </w:tc>
              <w:tc>
                <w:tcPr>
                  <w:tcW w:w="1240" w:type="dxa"/>
                  <w:noWrap/>
                  <w:hideMark/>
                </w:tcPr>
                <w:p w14:paraId="51D5E2C5"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2021</w:t>
                  </w:r>
                </w:p>
              </w:tc>
              <w:tc>
                <w:tcPr>
                  <w:tcW w:w="1493" w:type="dxa"/>
                  <w:noWrap/>
                  <w:hideMark/>
                </w:tcPr>
                <w:p w14:paraId="15697536"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变动</w:t>
                  </w:r>
                </w:p>
              </w:tc>
            </w:tr>
            <w:tr w:rsidR="001F143E" w:rsidRPr="001F143E" w14:paraId="7DFA26F6" w14:textId="77777777" w:rsidTr="001F143E">
              <w:trPr>
                <w:trHeight w:val="376"/>
              </w:trPr>
              <w:tc>
                <w:tcPr>
                  <w:cnfStyle w:val="001000000000" w:firstRow="0" w:lastRow="0" w:firstColumn="1" w:lastColumn="0" w:oddVBand="0" w:evenVBand="0" w:oddHBand="0" w:evenHBand="0" w:firstRowFirstColumn="0" w:firstRowLastColumn="0" w:lastRowFirstColumn="0" w:lastRowLastColumn="0"/>
                  <w:tcW w:w="2389" w:type="dxa"/>
                  <w:noWrap/>
                  <w:hideMark/>
                </w:tcPr>
                <w:p w14:paraId="01777DA8" w14:textId="77777777" w:rsidR="001F143E" w:rsidRPr="001F143E" w:rsidRDefault="001F143E" w:rsidP="001F143E">
                  <w:pPr>
                    <w:widowControl/>
                    <w:jc w:val="left"/>
                    <w:rPr>
                      <w:rFonts w:ascii="楷体" w:hAnsi="楷体" w:cs="Times New Roman"/>
                      <w:color w:val="000000"/>
                      <w:kern w:val="0"/>
                      <w:sz w:val="22"/>
                    </w:rPr>
                  </w:pPr>
                  <w:r w:rsidRPr="001F143E">
                    <w:rPr>
                      <w:rFonts w:ascii="楷体" w:hAnsi="楷体" w:cs="Times New Roman"/>
                      <w:color w:val="000000"/>
                      <w:kern w:val="0"/>
                      <w:sz w:val="22"/>
                    </w:rPr>
                    <w:t>浮法玻璃</w:t>
                  </w:r>
                </w:p>
              </w:tc>
              <w:tc>
                <w:tcPr>
                  <w:tcW w:w="1240" w:type="dxa"/>
                  <w:noWrap/>
                  <w:hideMark/>
                </w:tcPr>
                <w:p w14:paraId="601C4F46"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34.30%</w:t>
                  </w:r>
                </w:p>
              </w:tc>
              <w:tc>
                <w:tcPr>
                  <w:tcW w:w="1240" w:type="dxa"/>
                  <w:noWrap/>
                  <w:hideMark/>
                </w:tcPr>
                <w:p w14:paraId="391A27F1"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55.30%</w:t>
                  </w:r>
                </w:p>
              </w:tc>
              <w:tc>
                <w:tcPr>
                  <w:tcW w:w="1493" w:type="dxa"/>
                  <w:noWrap/>
                  <w:hideMark/>
                </w:tcPr>
                <w:p w14:paraId="3B7B22FD"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-21.00%</w:t>
                  </w:r>
                </w:p>
              </w:tc>
            </w:tr>
            <w:tr w:rsidR="001F143E" w:rsidRPr="001F143E" w14:paraId="7268C1A9" w14:textId="77777777" w:rsidTr="001F143E">
              <w:trPr>
                <w:trHeight w:val="376"/>
              </w:trPr>
              <w:tc>
                <w:tcPr>
                  <w:cnfStyle w:val="001000000000" w:firstRow="0" w:lastRow="0" w:firstColumn="1" w:lastColumn="0" w:oddVBand="0" w:evenVBand="0" w:oddHBand="0" w:evenHBand="0" w:firstRowFirstColumn="0" w:firstRowLastColumn="0" w:lastRowFirstColumn="0" w:lastRowLastColumn="0"/>
                  <w:tcW w:w="2389" w:type="dxa"/>
                  <w:noWrap/>
                  <w:hideMark/>
                </w:tcPr>
                <w:p w14:paraId="00B5B085" w14:textId="77777777" w:rsidR="001F143E" w:rsidRPr="001F143E" w:rsidRDefault="001F143E" w:rsidP="001F143E">
                  <w:pPr>
                    <w:widowControl/>
                    <w:jc w:val="left"/>
                    <w:rPr>
                      <w:rFonts w:ascii="楷体" w:hAnsi="楷体" w:cs="Times New Roman"/>
                      <w:color w:val="000000"/>
                      <w:kern w:val="0"/>
                      <w:sz w:val="22"/>
                    </w:rPr>
                  </w:pPr>
                  <w:r w:rsidRPr="001F143E">
                    <w:rPr>
                      <w:rFonts w:ascii="楷体" w:hAnsi="楷体" w:cs="Times New Roman"/>
                      <w:color w:val="000000"/>
                      <w:kern w:val="0"/>
                      <w:sz w:val="22"/>
                    </w:rPr>
                    <w:t>汽车玻璃</w:t>
                  </w:r>
                </w:p>
              </w:tc>
              <w:tc>
                <w:tcPr>
                  <w:tcW w:w="1240" w:type="dxa"/>
                  <w:noWrap/>
                  <w:hideMark/>
                </w:tcPr>
                <w:p w14:paraId="55418940"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50.60%</w:t>
                  </w:r>
                </w:p>
              </w:tc>
              <w:tc>
                <w:tcPr>
                  <w:tcW w:w="1240" w:type="dxa"/>
                  <w:noWrap/>
                  <w:hideMark/>
                </w:tcPr>
                <w:p w14:paraId="4E3B3929"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49.30%</w:t>
                  </w:r>
                </w:p>
              </w:tc>
              <w:tc>
                <w:tcPr>
                  <w:tcW w:w="1493" w:type="dxa"/>
                  <w:noWrap/>
                  <w:hideMark/>
                </w:tcPr>
                <w:p w14:paraId="510CC830"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1.30%</w:t>
                  </w:r>
                </w:p>
              </w:tc>
            </w:tr>
            <w:tr w:rsidR="001F143E" w:rsidRPr="001F143E" w14:paraId="607EE040" w14:textId="77777777" w:rsidTr="001F143E">
              <w:trPr>
                <w:trHeight w:val="376"/>
              </w:trPr>
              <w:tc>
                <w:tcPr>
                  <w:cnfStyle w:val="001000000000" w:firstRow="0" w:lastRow="0" w:firstColumn="1" w:lastColumn="0" w:oddVBand="0" w:evenVBand="0" w:oddHBand="0" w:evenHBand="0" w:firstRowFirstColumn="0" w:firstRowLastColumn="0" w:lastRowFirstColumn="0" w:lastRowLastColumn="0"/>
                  <w:tcW w:w="2389" w:type="dxa"/>
                  <w:noWrap/>
                  <w:hideMark/>
                </w:tcPr>
                <w:p w14:paraId="37DA63A3" w14:textId="77777777" w:rsidR="001F143E" w:rsidRPr="001F143E" w:rsidRDefault="001F143E" w:rsidP="001F143E">
                  <w:pPr>
                    <w:widowControl/>
                    <w:jc w:val="left"/>
                    <w:rPr>
                      <w:rFonts w:ascii="楷体" w:hAnsi="楷体" w:cs="Times New Roman"/>
                      <w:color w:val="000000"/>
                      <w:kern w:val="0"/>
                      <w:sz w:val="22"/>
                    </w:rPr>
                  </w:pPr>
                  <w:r w:rsidRPr="001F143E">
                    <w:rPr>
                      <w:rFonts w:ascii="楷体" w:hAnsi="楷体" w:cs="Times New Roman"/>
                      <w:color w:val="000000"/>
                      <w:kern w:val="0"/>
                      <w:sz w:val="22"/>
                    </w:rPr>
                    <w:t>建筑工程玻璃</w:t>
                  </w:r>
                </w:p>
              </w:tc>
              <w:tc>
                <w:tcPr>
                  <w:tcW w:w="1240" w:type="dxa"/>
                  <w:noWrap/>
                  <w:hideMark/>
                </w:tcPr>
                <w:p w14:paraId="502D25C7"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39.80%</w:t>
                  </w:r>
                </w:p>
              </w:tc>
              <w:tc>
                <w:tcPr>
                  <w:tcW w:w="1240" w:type="dxa"/>
                  <w:noWrap/>
                  <w:hideMark/>
                </w:tcPr>
                <w:p w14:paraId="6F0F1AA8"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43.90%</w:t>
                  </w:r>
                </w:p>
              </w:tc>
              <w:tc>
                <w:tcPr>
                  <w:tcW w:w="1493" w:type="dxa"/>
                  <w:noWrap/>
                  <w:hideMark/>
                </w:tcPr>
                <w:p w14:paraId="317E974B" w14:textId="77777777" w:rsidR="001F143E" w:rsidRPr="001F143E" w:rsidRDefault="001F143E" w:rsidP="001F143E">
                  <w:pPr>
                    <w:widowControl/>
                    <w:jc w:val="center"/>
                    <w:cnfStyle w:val="000000000000" w:firstRow="0" w:lastRow="0" w:firstColumn="0" w:lastColumn="0" w:oddVBand="0" w:evenVBand="0" w:oddHBand="0" w:evenHBand="0" w:firstRowFirstColumn="0" w:firstRowLastColumn="0" w:lastRowFirstColumn="0" w:lastRowLastColumn="0"/>
                    <w:rPr>
                      <w:rFonts w:ascii="楷体" w:hAnsi="楷体" w:cs="Times New Roman"/>
                      <w:color w:val="000000"/>
                      <w:kern w:val="0"/>
                      <w:sz w:val="22"/>
                    </w:rPr>
                  </w:pPr>
                  <w:r w:rsidRPr="001F143E">
                    <w:rPr>
                      <w:rFonts w:ascii="楷体" w:hAnsi="楷体" w:cs="Times New Roman"/>
                      <w:color w:val="000000"/>
                      <w:kern w:val="0"/>
                      <w:sz w:val="22"/>
                    </w:rPr>
                    <w:t>-4.10%</w:t>
                  </w:r>
                </w:p>
              </w:tc>
            </w:tr>
          </w:tbl>
          <w:p w14:paraId="076CE767" w14:textId="0021C27D" w:rsidR="00BC364C" w:rsidRPr="00455A15" w:rsidRDefault="00BC364C" w:rsidP="003526F2">
            <w:pPr>
              <w:pStyle w:val="af4"/>
              <w:spacing w:before="156" w:after="156"/>
              <w:rPr>
                <w:b/>
                <w:bCs/>
              </w:rPr>
            </w:pPr>
          </w:p>
        </w:tc>
      </w:tr>
      <w:tr w:rsidR="003526F2" w14:paraId="28D30819" w14:textId="77777777" w:rsidTr="00767529">
        <w:trPr>
          <w:trHeight w:val="90"/>
        </w:trPr>
        <w:tc>
          <w:tcPr>
            <w:tcW w:w="2297" w:type="dxa"/>
            <w:tcBorders>
              <w:top w:val="nil"/>
              <w:left w:val="nil"/>
              <w:bottom w:val="nil"/>
              <w:right w:val="nil"/>
            </w:tcBorders>
          </w:tcPr>
          <w:p w14:paraId="309D683C" w14:textId="77777777" w:rsidR="003526F2" w:rsidRDefault="003526F2" w:rsidP="003526F2">
            <w:pPr>
              <w:pStyle w:val="af6"/>
            </w:pPr>
          </w:p>
        </w:tc>
        <w:tc>
          <w:tcPr>
            <w:tcW w:w="8193" w:type="dxa"/>
            <w:tcBorders>
              <w:top w:val="single" w:sz="8" w:space="0" w:color="auto"/>
              <w:left w:val="nil"/>
              <w:right w:val="nil"/>
            </w:tcBorders>
          </w:tcPr>
          <w:p w14:paraId="21B49C0B" w14:textId="17B9DFD9" w:rsidR="003526F2" w:rsidRPr="00DE5044" w:rsidRDefault="003526F2" w:rsidP="00DE5044">
            <w:pPr>
              <w:pStyle w:val="af9"/>
            </w:pPr>
            <w:r w:rsidRPr="002D3078">
              <w:t>数据来源：</w:t>
            </w:r>
            <w:r>
              <w:rPr>
                <w:rFonts w:hint="eastAsia"/>
              </w:rPr>
              <w:t>公司公告</w:t>
            </w:r>
            <w:r w:rsidRPr="002D3078">
              <w:rPr>
                <w:rFonts w:hint="eastAsia"/>
              </w:rPr>
              <w:t>、国元证券经纪（香港）整理</w:t>
            </w:r>
          </w:p>
        </w:tc>
      </w:tr>
      <w:tr w:rsidR="008411D8" w14:paraId="36CFFEFF" w14:textId="77777777" w:rsidTr="00B74356">
        <w:trPr>
          <w:trHeight w:val="1029"/>
        </w:trPr>
        <w:tc>
          <w:tcPr>
            <w:tcW w:w="2297" w:type="dxa"/>
            <w:tcBorders>
              <w:top w:val="nil"/>
              <w:right w:val="nil"/>
            </w:tcBorders>
          </w:tcPr>
          <w:p w14:paraId="58ECEBC0" w14:textId="77777777" w:rsidR="008411D8" w:rsidRDefault="008411D8" w:rsidP="008411D8">
            <w:pPr>
              <w:spacing w:line="300" w:lineRule="exact"/>
              <w:rPr>
                <w:rFonts w:ascii="楷体" w:hAnsi="楷体" w:cs="楷体"/>
                <w:color w:val="000080"/>
                <w:sz w:val="20"/>
                <w:szCs w:val="20"/>
              </w:rPr>
            </w:pPr>
          </w:p>
        </w:tc>
        <w:tc>
          <w:tcPr>
            <w:tcW w:w="8193" w:type="dxa"/>
            <w:tcBorders>
              <w:top w:val="nil"/>
              <w:left w:val="nil"/>
              <w:right w:val="nil"/>
            </w:tcBorders>
          </w:tcPr>
          <w:p w14:paraId="14706780" w14:textId="30CD8CDA" w:rsidR="008411D8" w:rsidRDefault="008411D8" w:rsidP="008411D8">
            <w:pPr>
              <w:pStyle w:val="af0"/>
              <w:spacing w:after="156"/>
              <w:rPr>
                <w:b/>
                <w:bCs/>
                <w:szCs w:val="20"/>
              </w:rPr>
            </w:pPr>
            <w:r>
              <w:rPr>
                <w:rFonts w:hint="eastAsia"/>
                <w:b/>
                <w:bCs/>
                <w:szCs w:val="20"/>
              </w:rPr>
              <w:t>维持买入</w:t>
            </w:r>
            <w:r w:rsidRPr="005817E4">
              <w:rPr>
                <w:rFonts w:hint="eastAsia"/>
                <w:b/>
                <w:bCs/>
                <w:szCs w:val="20"/>
              </w:rPr>
              <w:t>评级，</w:t>
            </w:r>
            <w:r>
              <w:rPr>
                <w:rFonts w:hint="eastAsia"/>
                <w:b/>
                <w:bCs/>
                <w:szCs w:val="20"/>
              </w:rPr>
              <w:t>目标价</w:t>
            </w:r>
            <w:r>
              <w:rPr>
                <w:b/>
                <w:bCs/>
                <w:szCs w:val="20"/>
              </w:rPr>
              <w:t>2</w:t>
            </w:r>
            <w:r w:rsidR="008F4AC9">
              <w:rPr>
                <w:b/>
                <w:bCs/>
                <w:szCs w:val="20"/>
              </w:rPr>
              <w:t>1</w:t>
            </w:r>
            <w:r w:rsidR="00455A15">
              <w:rPr>
                <w:b/>
                <w:bCs/>
                <w:szCs w:val="20"/>
              </w:rPr>
              <w:t>.</w:t>
            </w:r>
            <w:r w:rsidR="008F4AC9">
              <w:rPr>
                <w:b/>
                <w:bCs/>
                <w:szCs w:val="20"/>
              </w:rPr>
              <w:t>6</w:t>
            </w:r>
            <w:r w:rsidRPr="005817E4">
              <w:rPr>
                <w:rFonts w:hint="eastAsia"/>
                <w:b/>
                <w:bCs/>
                <w:szCs w:val="20"/>
              </w:rPr>
              <w:t>港元：</w:t>
            </w:r>
          </w:p>
          <w:p w14:paraId="10966305" w14:textId="6BEA7F13" w:rsidR="008F4AC9" w:rsidRDefault="008F4AC9" w:rsidP="008411D8">
            <w:pPr>
              <w:pStyle w:val="af0"/>
              <w:spacing w:after="156"/>
            </w:pPr>
            <w:r w:rsidRPr="008F4AC9">
              <w:rPr>
                <w:rFonts w:hint="eastAsia"/>
              </w:rPr>
              <w:t>我们更新</w:t>
            </w:r>
            <w:r w:rsidR="003646F8">
              <w:rPr>
                <w:rFonts w:hint="eastAsia"/>
              </w:rPr>
              <w:t>公司</w:t>
            </w:r>
            <w:r w:rsidRPr="008F4AC9">
              <w:rPr>
                <w:rFonts w:hint="eastAsia"/>
              </w:rPr>
              <w:t>盈利预</w:t>
            </w:r>
            <w:r w:rsidR="003646F8">
              <w:rPr>
                <w:rFonts w:hint="eastAsia"/>
              </w:rPr>
              <w:t>测</w:t>
            </w:r>
            <w:r w:rsidRPr="008F4AC9">
              <w:rPr>
                <w:rFonts w:hint="eastAsia"/>
              </w:rPr>
              <w:t>，下调目标价至</w:t>
            </w:r>
            <w:r w:rsidRPr="008F4AC9">
              <w:rPr>
                <w:rFonts w:hint="eastAsia"/>
              </w:rPr>
              <w:t>21.6</w:t>
            </w:r>
            <w:r w:rsidRPr="008F4AC9">
              <w:rPr>
                <w:rFonts w:hint="eastAsia"/>
              </w:rPr>
              <w:t>港元，相当于</w:t>
            </w:r>
            <w:r w:rsidRPr="008F4AC9">
              <w:rPr>
                <w:rFonts w:hint="eastAsia"/>
              </w:rPr>
              <w:t>2022</w:t>
            </w:r>
            <w:r w:rsidRPr="008F4AC9">
              <w:rPr>
                <w:rFonts w:hint="eastAsia"/>
              </w:rPr>
              <w:t>年和</w:t>
            </w:r>
            <w:r w:rsidRPr="008F4AC9">
              <w:rPr>
                <w:rFonts w:hint="eastAsia"/>
              </w:rPr>
              <w:t>2023</w:t>
            </w:r>
            <w:r w:rsidRPr="008F4AC9">
              <w:rPr>
                <w:rFonts w:hint="eastAsia"/>
              </w:rPr>
              <w:t>年</w:t>
            </w:r>
            <w:r w:rsidRPr="008F4AC9">
              <w:rPr>
                <w:rFonts w:hint="eastAsia"/>
              </w:rPr>
              <w:t>12</w:t>
            </w:r>
            <w:r w:rsidRPr="008F4AC9">
              <w:rPr>
                <w:rFonts w:hint="eastAsia"/>
              </w:rPr>
              <w:t>倍和</w:t>
            </w:r>
            <w:r w:rsidRPr="008F4AC9">
              <w:rPr>
                <w:rFonts w:hint="eastAsia"/>
              </w:rPr>
              <w:t>8.7</w:t>
            </w:r>
            <w:r w:rsidRPr="008F4AC9">
              <w:rPr>
                <w:rFonts w:hint="eastAsia"/>
              </w:rPr>
              <w:t>倍</w:t>
            </w:r>
            <w:r w:rsidRPr="008F4AC9">
              <w:rPr>
                <w:rFonts w:hint="eastAsia"/>
              </w:rPr>
              <w:t>PE</w:t>
            </w:r>
            <w:r w:rsidRPr="008F4AC9">
              <w:rPr>
                <w:rFonts w:hint="eastAsia"/>
              </w:rPr>
              <w:t>，目标价较现价有</w:t>
            </w:r>
            <w:r w:rsidRPr="008F4AC9">
              <w:rPr>
                <w:rFonts w:hint="eastAsia"/>
              </w:rPr>
              <w:t>42%</w:t>
            </w:r>
            <w:r w:rsidRPr="008F4AC9">
              <w:rPr>
                <w:rFonts w:hint="eastAsia"/>
              </w:rPr>
              <w:t>上升空间，维持买入评级。</w:t>
            </w:r>
          </w:p>
          <w:p w14:paraId="14D1A977" w14:textId="437C3F54" w:rsidR="008411D8" w:rsidRDefault="008411D8" w:rsidP="008411D8">
            <w:pPr>
              <w:pStyle w:val="af0"/>
              <w:spacing w:after="156"/>
              <w:rPr>
                <w:b/>
                <w:bCs/>
              </w:rPr>
            </w:pPr>
            <w:r>
              <w:rPr>
                <w:rFonts w:hint="eastAsia"/>
                <w:b/>
                <w:bCs/>
              </w:rPr>
              <w:t>风险提示：</w:t>
            </w:r>
          </w:p>
          <w:p w14:paraId="141CFAD8" w14:textId="5B7C4B83" w:rsidR="008411D8" w:rsidRDefault="008411D8" w:rsidP="008411D8">
            <w:pPr>
              <w:pStyle w:val="af0"/>
              <w:spacing w:after="156"/>
              <w:rPr>
                <w:b/>
                <w:bCs/>
                <w:szCs w:val="20"/>
              </w:rPr>
            </w:pPr>
            <w:r w:rsidRPr="00FE65CA">
              <w:rPr>
                <w:rFonts w:ascii="楷体" w:hAnsi="楷体" w:cs="楷体" w:hint="eastAsia"/>
              </w:rPr>
              <w:t>原料价格</w:t>
            </w:r>
            <w:r w:rsidR="002A0102">
              <w:rPr>
                <w:rFonts w:ascii="楷体" w:hAnsi="楷体" w:cs="楷体" w:hint="eastAsia"/>
              </w:rPr>
              <w:t>、能源成本</w:t>
            </w:r>
            <w:r w:rsidRPr="00FE65CA">
              <w:rPr>
                <w:rFonts w:ascii="楷体" w:hAnsi="楷体" w:cs="楷体" w:hint="eastAsia"/>
              </w:rPr>
              <w:t>大幅上涨、浮法玻璃需求低于预期、新增产能不及预期</w:t>
            </w:r>
          </w:p>
        </w:tc>
      </w:tr>
      <w:tr w:rsidR="008411D8" w14:paraId="7CB26BE3" w14:textId="77777777" w:rsidTr="00B74356">
        <w:trPr>
          <w:trHeight w:val="197"/>
        </w:trPr>
        <w:tc>
          <w:tcPr>
            <w:tcW w:w="10490" w:type="dxa"/>
            <w:gridSpan w:val="2"/>
            <w:tcBorders>
              <w:top w:val="nil"/>
              <w:left w:val="nil"/>
              <w:bottom w:val="single" w:sz="8" w:space="0" w:color="auto"/>
              <w:right w:val="nil"/>
            </w:tcBorders>
          </w:tcPr>
          <w:p w14:paraId="70014B4B" w14:textId="18DD9097" w:rsidR="008411D8" w:rsidRDefault="008411D8" w:rsidP="008411D8">
            <w:pPr>
              <w:pStyle w:val="-2"/>
            </w:pPr>
            <w:r>
              <w:rPr>
                <w:rFonts w:hint="eastAsia"/>
                <w:lang w:val="en-GB"/>
              </w:rPr>
              <w:t>表</w:t>
            </w:r>
            <w:r w:rsidR="003F64B6">
              <w:rPr>
                <w:lang w:val="en-GB"/>
              </w:rPr>
              <w:t>3</w:t>
            </w:r>
            <w:r w:rsidRPr="00D046DE">
              <w:rPr>
                <w:rFonts w:hint="eastAsia"/>
                <w:lang w:val="en-GB"/>
              </w:rPr>
              <w:t>：行业估值</w:t>
            </w:r>
          </w:p>
        </w:tc>
      </w:tr>
      <w:tr w:rsidR="008411D8" w14:paraId="69E28025" w14:textId="77777777" w:rsidTr="00B74356">
        <w:trPr>
          <w:trHeight w:val="2827"/>
        </w:trPr>
        <w:tc>
          <w:tcPr>
            <w:tcW w:w="10490" w:type="dxa"/>
            <w:gridSpan w:val="2"/>
            <w:tcBorders>
              <w:top w:val="single" w:sz="8" w:space="0" w:color="auto"/>
              <w:left w:val="nil"/>
              <w:bottom w:val="single" w:sz="8" w:space="0" w:color="auto"/>
              <w:right w:val="nil"/>
            </w:tcBorders>
          </w:tcPr>
          <w:p w14:paraId="63E1D62E" w14:textId="02CE188E" w:rsidR="008411D8" w:rsidRDefault="003F64B6" w:rsidP="008411D8">
            <w:pPr>
              <w:pStyle w:val="afb"/>
              <w:adjustRightInd w:val="0"/>
              <w:snapToGrid w:val="0"/>
              <w:spacing w:beforeLines="0" w:before="0" w:afterLines="0" w:after="0"/>
              <w:rPr>
                <w:rFonts w:ascii="楷体" w:hAnsi="楷体"/>
                <w:spacing w:val="-5"/>
                <w:sz w:val="21"/>
                <w:szCs w:val="22"/>
                <w:lang w:bidi="zh-CN"/>
              </w:rPr>
            </w:pPr>
            <w:r w:rsidRPr="003F64B6">
              <w:rPr>
                <w:noProof/>
              </w:rPr>
              <w:drawing>
                <wp:inline distT="0" distB="0" distL="0" distR="0" wp14:anchorId="4B0AE71B" wp14:editId="4316E638">
                  <wp:extent cx="6619875" cy="1704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563" cy="1707470"/>
                          </a:xfrm>
                          <a:prstGeom prst="rect">
                            <a:avLst/>
                          </a:prstGeom>
                          <a:noFill/>
                          <a:ln>
                            <a:noFill/>
                          </a:ln>
                        </pic:spPr>
                      </pic:pic>
                    </a:graphicData>
                  </a:graphic>
                </wp:inline>
              </w:drawing>
            </w:r>
          </w:p>
        </w:tc>
      </w:tr>
      <w:tr w:rsidR="008411D8" w:rsidRPr="00A95EEE" w14:paraId="0A034B56" w14:textId="77777777" w:rsidTr="00B74356">
        <w:trPr>
          <w:trHeight w:val="134"/>
        </w:trPr>
        <w:tc>
          <w:tcPr>
            <w:tcW w:w="10490" w:type="dxa"/>
            <w:gridSpan w:val="2"/>
            <w:tcBorders>
              <w:top w:val="single" w:sz="8" w:space="0" w:color="auto"/>
              <w:left w:val="nil"/>
              <w:right w:val="nil"/>
            </w:tcBorders>
          </w:tcPr>
          <w:p w14:paraId="315AF8B0" w14:textId="1B57C935" w:rsidR="008411D8" w:rsidRDefault="008411D8" w:rsidP="008411D8">
            <w:pPr>
              <w:pStyle w:val="af9"/>
              <w:widowControl w:val="0"/>
              <w:autoSpaceDE w:val="0"/>
              <w:autoSpaceDN w:val="0"/>
              <w:rPr>
                <w:szCs w:val="22"/>
              </w:rPr>
            </w:pPr>
            <w:r>
              <w:rPr>
                <w:rFonts w:hint="eastAsia"/>
                <w:szCs w:val="22"/>
              </w:rPr>
              <w:t>资料来源：</w:t>
            </w:r>
            <w:r>
              <w:rPr>
                <w:szCs w:val="22"/>
              </w:rPr>
              <w:t>Wind</w:t>
            </w:r>
            <w:r>
              <w:rPr>
                <w:rFonts w:hint="eastAsia"/>
                <w:szCs w:val="22"/>
              </w:rPr>
              <w:t>、</w:t>
            </w:r>
            <w:r>
              <w:rPr>
                <w:rFonts w:hint="eastAsia"/>
              </w:rPr>
              <w:t>国元证券经纪（香港）整理</w:t>
            </w:r>
          </w:p>
        </w:tc>
      </w:tr>
    </w:tbl>
    <w:p w14:paraId="3B6DDC16" w14:textId="4F64389A" w:rsidR="00BC6CCE" w:rsidRDefault="00CE2A3C" w:rsidP="00F12BEC">
      <w:pPr>
        <w:jc w:val="left"/>
        <w:rPr>
          <w:sz w:val="20"/>
          <w:szCs w:val="20"/>
        </w:rPr>
      </w:pPr>
      <w:bookmarkStart w:id="0" w:name="_Toc26242_WPSOffice_Level1"/>
      <w:bookmarkStart w:id="1" w:name="_Toc515442748"/>
      <w:bookmarkStart w:id="2" w:name="_Toc514336141"/>
      <w:r>
        <w:rPr>
          <w:noProof/>
        </w:rPr>
        <w:lastRenderedPageBreak/>
        <w:t xml:space="preserve"> </w:t>
      </w:r>
      <w:r w:rsidRPr="00F12BEC">
        <w:rPr>
          <w:noProof/>
        </w:rPr>
        <w:t xml:space="preserve"> </w:t>
      </w:r>
      <w:r w:rsidR="0012074F" w:rsidRPr="0012074F">
        <w:rPr>
          <w:noProof/>
        </w:rPr>
        <w:drawing>
          <wp:inline distT="0" distB="0" distL="0" distR="0" wp14:anchorId="6CB4DE02" wp14:editId="77FA3036">
            <wp:extent cx="5994400" cy="8697488"/>
            <wp:effectExtent l="0" t="0" r="635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5621" cy="8699260"/>
                    </a:xfrm>
                    <a:prstGeom prst="rect">
                      <a:avLst/>
                    </a:prstGeom>
                    <a:noFill/>
                    <a:ln>
                      <a:noFill/>
                    </a:ln>
                  </pic:spPr>
                </pic:pic>
              </a:graphicData>
            </a:graphic>
          </wp:inline>
        </w:drawing>
      </w:r>
      <w:r w:rsidR="00854616" w:rsidRPr="00854616">
        <w:t xml:space="preserve"> </w:t>
      </w:r>
      <w:r w:rsidR="00854616">
        <w:rPr>
          <w:noProof/>
        </w:rPr>
        <w:t xml:space="preserve"> </w:t>
      </w:r>
      <w:r w:rsidR="00354820" w:rsidRPr="00F12BEC">
        <w:rPr>
          <w:noProof/>
        </w:rPr>
        <w:t xml:space="preserve"> </w:t>
      </w:r>
      <w:r w:rsidR="00653D8F" w:rsidRPr="00653D8F">
        <w:rPr>
          <w:noProof/>
        </w:rPr>
        <w:t xml:space="preserve"> </w:t>
      </w:r>
    </w:p>
    <w:p w14:paraId="00A11A87" w14:textId="77777777" w:rsidR="00BC6CCE" w:rsidRDefault="00BC6CCE" w:rsidP="00341412"/>
    <w:p w14:paraId="3F835B0D" w14:textId="77777777" w:rsidR="00BC6CCE" w:rsidRDefault="00BC6CCE" w:rsidP="00341412"/>
    <w:p w14:paraId="2D48C96F" w14:textId="77777777" w:rsidR="00BC6CCE" w:rsidRDefault="00653D8F" w:rsidP="00341412">
      <w:bookmarkStart w:id="3" w:name="_Toc25682"/>
      <w:bookmarkStart w:id="4" w:name="_Toc28164"/>
      <w:r>
        <w:rPr>
          <w:noProof/>
        </w:rPr>
        <mc:AlternateContent>
          <mc:Choice Requires="wps">
            <w:drawing>
              <wp:anchor distT="0" distB="0" distL="114300" distR="114300" simplePos="0" relativeHeight="306136064" behindDoc="1" locked="0" layoutInCell="1" allowOverlap="1" wp14:anchorId="788F7F23" wp14:editId="340D57E1">
                <wp:simplePos x="0" y="0"/>
                <wp:positionH relativeFrom="column">
                  <wp:posOffset>-447675</wp:posOffset>
                </wp:positionH>
                <wp:positionV relativeFrom="paragraph">
                  <wp:posOffset>-866775</wp:posOffset>
                </wp:positionV>
                <wp:extent cx="7152640" cy="1466850"/>
                <wp:effectExtent l="0" t="0" r="0" b="0"/>
                <wp:wrapNone/>
                <wp:docPr id="1743414" name="文本框 1743414"/>
                <wp:cNvGraphicFramePr/>
                <a:graphic xmlns:a="http://schemas.openxmlformats.org/drawingml/2006/main">
                  <a:graphicData uri="http://schemas.microsoft.com/office/word/2010/wordprocessingShape">
                    <wps:wsp>
                      <wps:cNvSpPr txBox="1"/>
                      <wps:spPr>
                        <a:xfrm>
                          <a:off x="0" y="0"/>
                          <a:ext cx="7152640" cy="146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A82D0" w14:textId="77777777" w:rsidR="000D73C1" w:rsidRDefault="000D73C1" w:rsidP="000D73C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788F7F23" id="_x0000_t202" coordsize="21600,21600" o:spt="202" path="m,l,21600r21600,l21600,xe">
                <v:stroke joinstyle="miter"/>
                <v:path gradientshapeok="t" o:connecttype="rect"/>
              </v:shapetype>
              <v:shape id="文本框 1743414" o:spid="_x0000_s1026" type="#_x0000_t202" style="position:absolute;left:0;text-align:left;margin-left:-35.25pt;margin-top:-68.25pt;width:563.2pt;height:115.5pt;z-index:-197180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" fillcolor="white [3201]" stroked="f" strokeweight=".5pt">
                <v:textbox>
                  <w:txbxContent>
                    <w:p w14:paraId="586A82D0" w14:textId="77777777" w:rsidR="000D73C1" w:rsidRDefault="000D73C1" w:rsidP="000D73C1"/>
                  </w:txbxContent>
                </v:textbox>
              </v:shape>
            </w:pict>
          </mc:Fallback>
        </mc:AlternateContent>
      </w:r>
    </w:p>
    <w:bookmarkEnd w:id="3"/>
    <w:bookmarkEnd w:id="4"/>
    <w:p w14:paraId="5C645FBE" w14:textId="77777777" w:rsidR="00BC6CCE" w:rsidRDefault="00BC6CCE">
      <w:pPr>
        <w:rPr>
          <w:rFonts w:ascii="楷体" w:hAnsi="楷体"/>
          <w:b/>
          <w:color w:val="000080"/>
          <w:sz w:val="32"/>
          <w:szCs w:val="32"/>
        </w:rPr>
      </w:pPr>
    </w:p>
    <w:bookmarkEnd w:id="0"/>
    <w:bookmarkEnd w:id="1"/>
    <w:bookmarkEnd w:id="2"/>
    <w:p w14:paraId="11B9F39D" w14:textId="77777777" w:rsidR="00BC6CCE" w:rsidRDefault="00BC6CCE">
      <w:pPr>
        <w:rPr>
          <w:rFonts w:ascii="楷体" w:hAnsi="楷体"/>
          <w:b/>
          <w:iCs/>
          <w:color w:val="004098"/>
          <w:sz w:val="32"/>
          <w:szCs w:val="36"/>
        </w:rPr>
      </w:pPr>
    </w:p>
    <w:p w14:paraId="25C37D9E" w14:textId="77777777" w:rsidR="00653D8F" w:rsidRDefault="00653D8F">
      <w:pPr>
        <w:rPr>
          <w:rFonts w:ascii="楷体" w:hAnsi="楷体"/>
          <w:b/>
          <w:iCs/>
          <w:color w:val="004098"/>
          <w:sz w:val="32"/>
          <w:szCs w:val="36"/>
        </w:rPr>
      </w:pPr>
    </w:p>
    <w:p w14:paraId="57B6D6FC" w14:textId="77777777" w:rsidR="00653D8F" w:rsidRDefault="00653D8F">
      <w:pPr>
        <w:rPr>
          <w:rFonts w:ascii="楷体" w:hAnsi="楷体"/>
          <w:b/>
          <w:iCs/>
          <w:color w:val="004098"/>
          <w:sz w:val="32"/>
          <w:szCs w:val="36"/>
        </w:rPr>
      </w:pPr>
    </w:p>
    <w:p w14:paraId="1C62716B" w14:textId="77777777" w:rsidR="00653D8F" w:rsidRDefault="000D469F">
      <w:pPr>
        <w:rPr>
          <w:rFonts w:ascii="楷体" w:hAnsi="楷体"/>
          <w:b/>
          <w:iCs/>
          <w:color w:val="004098"/>
          <w:sz w:val="32"/>
          <w:szCs w:val="36"/>
        </w:rPr>
      </w:pPr>
      <w:r>
        <w:rPr>
          <w:noProof/>
        </w:rPr>
        <mc:AlternateContent>
          <mc:Choice Requires="wps">
            <w:drawing>
              <wp:anchor distT="0" distB="0" distL="114300" distR="114300" simplePos="0" relativeHeight="306138112" behindDoc="0" locked="0" layoutInCell="1" allowOverlap="1" wp14:anchorId="7EF11772" wp14:editId="021D5FE9">
                <wp:simplePos x="0" y="0"/>
                <wp:positionH relativeFrom="margin">
                  <wp:posOffset>-317500</wp:posOffset>
                </wp:positionH>
                <wp:positionV relativeFrom="page">
                  <wp:posOffset>752475</wp:posOffset>
                </wp:positionV>
                <wp:extent cx="6982460" cy="9906000"/>
                <wp:effectExtent l="0" t="0" r="0" b="0"/>
                <wp:wrapNone/>
                <wp:docPr id="1743413" name="文本框 1743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460" cy="9906000"/>
                        </a:xfrm>
                        <a:prstGeom prst="rect">
                          <a:avLst/>
                        </a:prstGeom>
                        <a:noFill/>
                        <a:ln w="9525">
                          <a:noFill/>
                          <a:miter lim="800000"/>
                        </a:ln>
                      </wps:spPr>
                      <wps:txbx>
                        <w:txbxContent>
                          <w:p w14:paraId="128E34C2" w14:textId="19D0B30D" w:rsidR="00C74441" w:rsidRDefault="00CE2A3C" w:rsidP="00C74441">
                            <w:pPr>
                              <w:jc w:val="center"/>
                              <w:rPr>
                                <w:rFonts w:ascii="楷体" w:hAnsi="楷体"/>
                                <w:b/>
                                <w:iCs/>
                                <w:color w:val="004098"/>
                                <w:sz w:val="32"/>
                                <w:szCs w:val="36"/>
                              </w:rPr>
                            </w:pPr>
                            <w:r>
                              <w:rPr>
                                <w:rFonts w:ascii="楷体" w:hAnsi="楷体" w:hint="eastAsia"/>
                                <w:b/>
                                <w:iCs/>
                                <w:color w:val="004098"/>
                                <w:sz w:val="32"/>
                                <w:szCs w:val="36"/>
                              </w:rPr>
                              <w:t>投资评级定义和免责条款</w:t>
                            </w:r>
                          </w:p>
                          <w:p w14:paraId="748AC3BA" w14:textId="77777777" w:rsidR="00C74441" w:rsidRDefault="00C74441" w:rsidP="00C74441">
                            <w:pPr>
                              <w:adjustRightInd w:val="0"/>
                              <w:snapToGrid w:val="0"/>
                              <w:spacing w:line="180" w:lineRule="auto"/>
                              <w:rPr>
                                <w:rFonts w:ascii="楷体" w:hAnsi="楷体" w:cs="Times New Roman"/>
                                <w:b/>
                                <w:color w:val="004098"/>
                                <w:sz w:val="10"/>
                              </w:rPr>
                            </w:pPr>
                          </w:p>
                          <w:p w14:paraId="0A839AD4" w14:textId="04221747" w:rsidR="00C74441" w:rsidRDefault="00CE2A3C" w:rsidP="00C74441">
                            <w:pPr>
                              <w:adjustRightInd w:val="0"/>
                              <w:snapToGrid w:val="0"/>
                              <w:spacing w:line="180" w:lineRule="auto"/>
                              <w:rPr>
                                <w:rFonts w:ascii="楷体" w:hAnsi="楷体" w:cs="Times New Roman"/>
                                <w:b/>
                                <w:color w:val="004098"/>
                              </w:rPr>
                            </w:pPr>
                            <w:r>
                              <w:rPr>
                                <w:rFonts w:ascii="楷体" w:hAnsi="楷体" w:cs="Times New Roman" w:hint="eastAsia"/>
                                <w:b/>
                                <w:color w:val="004098"/>
                              </w:rPr>
                              <w:t>投资评级</w:t>
                            </w:r>
                          </w:p>
                          <w:tbl>
                            <w:tblPr>
                              <w:tblW w:w="10988" w:type="dxa"/>
                              <w:tblInd w:w="28" w:type="dxa"/>
                              <w:tblBorders>
                                <w:top w:val="single" w:sz="12" w:space="0" w:color="auto"/>
                                <w:bottom w:val="single" w:sz="12" w:space="0" w:color="auto"/>
                                <w:insideH w:val="single" w:sz="12" w:space="0" w:color="auto"/>
                              </w:tblBorders>
                              <w:shd w:val="clear" w:color="auto" w:fill="FFFFFF"/>
                              <w:tblLayout w:type="fixed"/>
                              <w:tblCellMar>
                                <w:left w:w="28" w:type="dxa"/>
                                <w:right w:w="28" w:type="dxa"/>
                              </w:tblCellMar>
                              <w:tblLook w:val="04A0" w:firstRow="1" w:lastRow="0" w:firstColumn="1" w:lastColumn="0" w:noHBand="0" w:noVBand="1"/>
                            </w:tblPr>
                            <w:tblGrid>
                              <w:gridCol w:w="1419"/>
                              <w:gridCol w:w="9569"/>
                            </w:tblGrid>
                            <w:tr w:rsidR="00C74441" w14:paraId="6D1875C4" w14:textId="77777777">
                              <w:trPr>
                                <w:trHeight w:val="232"/>
                              </w:trPr>
                              <w:tc>
                                <w:tcPr>
                                  <w:tcW w:w="1419" w:type="dxa"/>
                                  <w:shd w:val="clear" w:color="auto" w:fill="FFFFFF"/>
                                </w:tcPr>
                                <w:p w14:paraId="75D76BFD" w14:textId="00A76B31" w:rsidR="00C74441" w:rsidRDefault="00CE2A3C">
                                  <w:pPr>
                                    <w:adjustRightInd w:val="0"/>
                                    <w:snapToGrid w:val="0"/>
                                    <w:spacing w:line="240" w:lineRule="atLeast"/>
                                    <w:rPr>
                                      <w:rFonts w:ascii="楷体" w:hAnsi="楷体" w:cs="Arial"/>
                                      <w:bCs/>
                                    </w:rPr>
                                  </w:pPr>
                                  <w:r>
                                    <w:rPr>
                                      <w:rFonts w:ascii="楷体" w:hAnsi="楷体" w:cs="Arial" w:hint="eastAsia"/>
                                      <w:bCs/>
                                    </w:rPr>
                                    <w:t>买入</w:t>
                                  </w:r>
                                  <w:r>
                                    <w:rPr>
                                      <w:rFonts w:ascii="楷体" w:hAnsi="楷体" w:cs="Arial"/>
                                      <w:bCs/>
                                    </w:rPr>
                                    <w:t xml:space="preserve">  </w:t>
                                  </w:r>
                                </w:p>
                              </w:tc>
                              <w:tc>
                                <w:tcPr>
                                  <w:tcW w:w="9569" w:type="dxa"/>
                                  <w:shd w:val="clear" w:color="auto" w:fill="FFFFFF"/>
                                </w:tcPr>
                                <w:p w14:paraId="6456B2DB" w14:textId="3F8188F0" w:rsidR="00C74441" w:rsidRDefault="00CE2A3C">
                                  <w:pPr>
                                    <w:adjustRightInd w:val="0"/>
                                    <w:snapToGrid w:val="0"/>
                                    <w:spacing w:line="240" w:lineRule="atLeast"/>
                                    <w:rPr>
                                      <w:rFonts w:ascii="楷体" w:hAnsi="楷体" w:cs="Arial"/>
                                      <w:bCs/>
                                    </w:rPr>
                                  </w:pPr>
                                  <w:r>
                                    <w:rPr>
                                      <w:rFonts w:ascii="楷体" w:hAnsi="楷体" w:cs="Arial"/>
                                      <w:bCs/>
                                    </w:rPr>
                                    <w:t xml:space="preserve"> </w:t>
                                  </w:r>
                                  <w:r>
                                    <w:rPr>
                                      <w:rFonts w:ascii="楷体" w:hAnsi="楷体" w:cs="Arial" w:hint="eastAsia"/>
                                      <w:bCs/>
                                    </w:rPr>
                                    <w:t>未来</w:t>
                                  </w:r>
                                  <w:r>
                                    <w:rPr>
                                      <w:rFonts w:ascii="楷体" w:hAnsi="楷体" w:cs="Arial"/>
                                      <w:bCs/>
                                    </w:rPr>
                                    <w:t>12</w:t>
                                  </w:r>
                                  <w:r>
                                    <w:rPr>
                                      <w:rFonts w:ascii="楷体" w:hAnsi="楷体" w:cs="Arial" w:hint="eastAsia"/>
                                      <w:bCs/>
                                    </w:rPr>
                                    <w:t>个月内目标价距离</w:t>
                                  </w:r>
                                  <w:proofErr w:type="gramStart"/>
                                  <w:r>
                                    <w:rPr>
                                      <w:rFonts w:ascii="楷体" w:hAnsi="楷体" w:cs="Arial" w:hint="eastAsia"/>
                                      <w:bCs/>
                                    </w:rPr>
                                    <w:t>现价涨幅</w:t>
                                  </w:r>
                                  <w:proofErr w:type="gramEnd"/>
                                  <w:r>
                                    <w:rPr>
                                      <w:rFonts w:ascii="楷体" w:hAnsi="楷体" w:cs="Arial" w:hint="eastAsia"/>
                                      <w:bCs/>
                                    </w:rPr>
                                    <w:t>不小于</w:t>
                                  </w:r>
                                  <w:r>
                                    <w:rPr>
                                      <w:rFonts w:ascii="楷体" w:hAnsi="楷体" w:cs="Arial"/>
                                      <w:bCs/>
                                    </w:rPr>
                                    <w:t>20%</w:t>
                                  </w:r>
                                </w:p>
                              </w:tc>
                            </w:tr>
                            <w:tr w:rsidR="00C74441" w14:paraId="363DADEE" w14:textId="77777777">
                              <w:trPr>
                                <w:trHeight w:val="247"/>
                              </w:trPr>
                              <w:tc>
                                <w:tcPr>
                                  <w:tcW w:w="1419" w:type="dxa"/>
                                  <w:shd w:val="clear" w:color="auto" w:fill="FFFFFF"/>
                                </w:tcPr>
                                <w:p w14:paraId="5E6AC3DB" w14:textId="0F9C6F34" w:rsidR="00C74441" w:rsidRDefault="00CE2A3C">
                                  <w:pPr>
                                    <w:adjustRightInd w:val="0"/>
                                    <w:snapToGrid w:val="0"/>
                                    <w:spacing w:line="240" w:lineRule="atLeast"/>
                                    <w:rPr>
                                      <w:rFonts w:ascii="楷体" w:hAnsi="楷体" w:cs="Arial"/>
                                      <w:bCs/>
                                      <w:color w:val="000000"/>
                                    </w:rPr>
                                  </w:pPr>
                                  <w:r>
                                    <w:rPr>
                                      <w:rFonts w:ascii="楷体" w:hAnsi="楷体" w:cs="Arial" w:hint="eastAsia"/>
                                      <w:bCs/>
                                      <w:color w:val="000000"/>
                                    </w:rPr>
                                    <w:t>持有</w:t>
                                  </w:r>
                                  <w:r>
                                    <w:rPr>
                                      <w:rFonts w:ascii="楷体" w:hAnsi="楷体" w:cs="Arial"/>
                                      <w:bCs/>
                                      <w:color w:val="000000"/>
                                    </w:rPr>
                                    <w:t xml:space="preserve"> </w:t>
                                  </w:r>
                                </w:p>
                              </w:tc>
                              <w:tc>
                                <w:tcPr>
                                  <w:tcW w:w="9569" w:type="dxa"/>
                                  <w:shd w:val="clear" w:color="auto" w:fill="FFFFFF"/>
                                </w:tcPr>
                                <w:p w14:paraId="40E898E0" w14:textId="2564D108" w:rsidR="00C74441" w:rsidRDefault="00CE2A3C">
                                  <w:pPr>
                                    <w:adjustRightInd w:val="0"/>
                                    <w:snapToGrid w:val="0"/>
                                    <w:spacing w:line="240" w:lineRule="atLeast"/>
                                    <w:rPr>
                                      <w:rFonts w:ascii="楷体" w:hAnsi="楷体" w:cs="Arial"/>
                                      <w:bCs/>
                                    </w:rPr>
                                  </w:pPr>
                                  <w:r>
                                    <w:rPr>
                                      <w:rFonts w:ascii="楷体" w:hAnsi="楷体" w:cs="Arial"/>
                                      <w:bCs/>
                                    </w:rPr>
                                    <w:t xml:space="preserve"> </w:t>
                                  </w:r>
                                  <w:r>
                                    <w:rPr>
                                      <w:rFonts w:ascii="楷体" w:hAnsi="楷体" w:cs="Arial" w:hint="eastAsia"/>
                                      <w:bCs/>
                                    </w:rPr>
                                    <w:t>未来</w:t>
                                  </w:r>
                                  <w:r>
                                    <w:rPr>
                                      <w:rFonts w:ascii="楷体" w:hAnsi="楷体" w:cs="Arial"/>
                                      <w:bCs/>
                                    </w:rPr>
                                    <w:t>12</w:t>
                                  </w:r>
                                  <w:r>
                                    <w:rPr>
                                      <w:rFonts w:ascii="楷体" w:hAnsi="楷体" w:cs="Arial" w:hint="eastAsia"/>
                                      <w:bCs/>
                                    </w:rPr>
                                    <w:t>个月内目标价距离</w:t>
                                  </w:r>
                                  <w:proofErr w:type="gramStart"/>
                                  <w:r>
                                    <w:rPr>
                                      <w:rFonts w:ascii="楷体" w:hAnsi="楷体" w:cs="Arial" w:hint="eastAsia"/>
                                      <w:bCs/>
                                    </w:rPr>
                                    <w:t>现价涨幅</w:t>
                                  </w:r>
                                  <w:proofErr w:type="gramEnd"/>
                                  <w:r>
                                    <w:rPr>
                                      <w:rFonts w:ascii="楷体" w:hAnsi="楷体" w:cs="Arial" w:hint="eastAsia"/>
                                      <w:bCs/>
                                    </w:rPr>
                                    <w:t>在正负</w:t>
                                  </w:r>
                                  <w:r>
                                    <w:rPr>
                                      <w:rFonts w:ascii="楷体" w:hAnsi="楷体" w:cs="Arial"/>
                                      <w:bCs/>
                                    </w:rPr>
                                    <w:t>20%</w:t>
                                  </w:r>
                                  <w:r>
                                    <w:rPr>
                                      <w:rFonts w:ascii="楷体" w:hAnsi="楷体" w:cs="Arial" w:hint="eastAsia"/>
                                      <w:bCs/>
                                    </w:rPr>
                                    <w:t>之间</w:t>
                                  </w:r>
                                </w:p>
                              </w:tc>
                            </w:tr>
                            <w:tr w:rsidR="00C74441" w14:paraId="7EDA30AB" w14:textId="77777777">
                              <w:trPr>
                                <w:trHeight w:val="255"/>
                              </w:trPr>
                              <w:tc>
                                <w:tcPr>
                                  <w:tcW w:w="1419" w:type="dxa"/>
                                  <w:shd w:val="clear" w:color="auto" w:fill="FFFFFF"/>
                                </w:tcPr>
                                <w:p w14:paraId="77465428" w14:textId="199C16B1" w:rsidR="00C74441" w:rsidRDefault="00CE2A3C">
                                  <w:pPr>
                                    <w:adjustRightInd w:val="0"/>
                                    <w:snapToGrid w:val="0"/>
                                    <w:spacing w:line="240" w:lineRule="atLeast"/>
                                    <w:rPr>
                                      <w:rFonts w:ascii="楷体" w:hAnsi="楷体" w:cs="Arial"/>
                                      <w:bCs/>
                                    </w:rPr>
                                  </w:pPr>
                                  <w:r>
                                    <w:rPr>
                                      <w:rFonts w:ascii="楷体" w:hAnsi="楷体" w:cs="Arial" w:hint="eastAsia"/>
                                      <w:bCs/>
                                    </w:rPr>
                                    <w:t>卖出</w:t>
                                  </w:r>
                                  <w:r>
                                    <w:rPr>
                                      <w:rFonts w:ascii="楷体" w:hAnsi="楷体" w:cs="Arial"/>
                                      <w:bCs/>
                                    </w:rPr>
                                    <w:t xml:space="preserve">  </w:t>
                                  </w:r>
                                </w:p>
                              </w:tc>
                              <w:tc>
                                <w:tcPr>
                                  <w:tcW w:w="9569" w:type="dxa"/>
                                  <w:shd w:val="clear" w:color="auto" w:fill="FFFFFF"/>
                                </w:tcPr>
                                <w:p w14:paraId="6017746C" w14:textId="43E1036D" w:rsidR="00C74441" w:rsidRDefault="00CE2A3C">
                                  <w:pPr>
                                    <w:adjustRightInd w:val="0"/>
                                    <w:snapToGrid w:val="0"/>
                                    <w:spacing w:line="240" w:lineRule="atLeast"/>
                                    <w:rPr>
                                      <w:rFonts w:ascii="楷体" w:hAnsi="楷体" w:cs="Arial"/>
                                      <w:bCs/>
                                    </w:rPr>
                                  </w:pPr>
                                  <w:r>
                                    <w:rPr>
                                      <w:rFonts w:ascii="楷体" w:hAnsi="楷体" w:cs="Arial"/>
                                      <w:bCs/>
                                    </w:rPr>
                                    <w:t xml:space="preserve"> </w:t>
                                  </w:r>
                                  <w:r>
                                    <w:rPr>
                                      <w:rFonts w:ascii="楷体" w:hAnsi="楷体" w:cs="Arial" w:hint="eastAsia"/>
                                      <w:bCs/>
                                    </w:rPr>
                                    <w:t>未来</w:t>
                                  </w:r>
                                  <w:r>
                                    <w:rPr>
                                      <w:rFonts w:ascii="楷体" w:hAnsi="楷体" w:cs="Arial"/>
                                      <w:bCs/>
                                    </w:rPr>
                                    <w:t>12</w:t>
                                  </w:r>
                                  <w:r>
                                    <w:rPr>
                                      <w:rFonts w:ascii="楷体" w:hAnsi="楷体" w:cs="Arial" w:hint="eastAsia"/>
                                      <w:bCs/>
                                    </w:rPr>
                                    <w:t>个月内目标价距离</w:t>
                                  </w:r>
                                  <w:proofErr w:type="gramStart"/>
                                  <w:r>
                                    <w:rPr>
                                      <w:rFonts w:ascii="楷体" w:hAnsi="楷体" w:cs="Arial" w:hint="eastAsia"/>
                                      <w:bCs/>
                                    </w:rPr>
                                    <w:t>现价涨幅</w:t>
                                  </w:r>
                                  <w:proofErr w:type="gramEnd"/>
                                  <w:r>
                                    <w:rPr>
                                      <w:rFonts w:ascii="楷体" w:hAnsi="楷体" w:cs="Arial" w:hint="eastAsia"/>
                                      <w:bCs/>
                                    </w:rPr>
                                    <w:t>不小于</w:t>
                                  </w:r>
                                  <w:r>
                                    <w:rPr>
                                      <w:rFonts w:ascii="楷体" w:hAnsi="楷体" w:cs="Arial"/>
                                      <w:bCs/>
                                    </w:rPr>
                                    <w:t>-20%</w:t>
                                  </w:r>
                                </w:p>
                              </w:tc>
                            </w:tr>
                            <w:tr w:rsidR="00C74441" w14:paraId="6CA4BE71" w14:textId="77777777">
                              <w:trPr>
                                <w:trHeight w:val="255"/>
                              </w:trPr>
                              <w:tc>
                                <w:tcPr>
                                  <w:tcW w:w="1419" w:type="dxa"/>
                                  <w:tcBorders>
                                    <w:bottom w:val="single" w:sz="12" w:space="0" w:color="auto"/>
                                  </w:tcBorders>
                                  <w:shd w:val="clear" w:color="auto" w:fill="FFFFFF"/>
                                </w:tcPr>
                                <w:p w14:paraId="1389FD5F" w14:textId="4A7612E2" w:rsidR="00C74441" w:rsidRDefault="00CE2A3C">
                                  <w:pPr>
                                    <w:adjustRightInd w:val="0"/>
                                    <w:snapToGrid w:val="0"/>
                                    <w:spacing w:line="240" w:lineRule="atLeast"/>
                                    <w:rPr>
                                      <w:rFonts w:ascii="楷体" w:hAnsi="楷体" w:cs="Arial"/>
                                      <w:bCs/>
                                      <w:color w:val="000000"/>
                                    </w:rPr>
                                  </w:pPr>
                                  <w:r>
                                    <w:rPr>
                                      <w:rFonts w:ascii="楷体" w:hAnsi="楷体" w:cs="Arial" w:hint="eastAsia"/>
                                      <w:bCs/>
                                      <w:color w:val="000000"/>
                                    </w:rPr>
                                    <w:t>未评级</w:t>
                                  </w:r>
                                  <w:r>
                                    <w:rPr>
                                      <w:rFonts w:ascii="楷体" w:hAnsi="楷体" w:cs="Arial"/>
                                      <w:bCs/>
                                      <w:color w:val="000000"/>
                                    </w:rPr>
                                    <w:t xml:space="preserve"> </w:t>
                                  </w:r>
                                </w:p>
                              </w:tc>
                              <w:tc>
                                <w:tcPr>
                                  <w:tcW w:w="9569" w:type="dxa"/>
                                  <w:tcBorders>
                                    <w:bottom w:val="single" w:sz="12" w:space="0" w:color="auto"/>
                                  </w:tcBorders>
                                  <w:shd w:val="clear" w:color="auto" w:fill="FFFFFF"/>
                                </w:tcPr>
                                <w:p w14:paraId="2FC9D2B2" w14:textId="50A42FA4" w:rsidR="00C74441" w:rsidRDefault="00CE2A3C">
                                  <w:pPr>
                                    <w:adjustRightInd w:val="0"/>
                                    <w:snapToGrid w:val="0"/>
                                    <w:spacing w:line="240" w:lineRule="atLeast"/>
                                    <w:rPr>
                                      <w:rFonts w:ascii="楷体" w:hAnsi="楷体" w:cs="Arial"/>
                                      <w:bCs/>
                                    </w:rPr>
                                  </w:pPr>
                                  <w:r>
                                    <w:rPr>
                                      <w:rFonts w:ascii="楷体" w:hAnsi="楷体" w:cs="Arial"/>
                                      <w:bCs/>
                                    </w:rPr>
                                    <w:t xml:space="preserve"> </w:t>
                                  </w:r>
                                  <w:r>
                                    <w:rPr>
                                      <w:rFonts w:ascii="楷体" w:hAnsi="楷体" w:cs="Arial" w:hint="eastAsia"/>
                                      <w:bCs/>
                                    </w:rPr>
                                    <w:t>对未来</w:t>
                                  </w:r>
                                  <w:r>
                                    <w:rPr>
                                      <w:rFonts w:ascii="楷体" w:hAnsi="楷体" w:cs="Arial"/>
                                      <w:bCs/>
                                    </w:rPr>
                                    <w:t>12</w:t>
                                  </w:r>
                                  <w:r>
                                    <w:rPr>
                                      <w:rFonts w:ascii="楷体" w:hAnsi="楷体" w:cs="Arial" w:hint="eastAsia"/>
                                      <w:bCs/>
                                    </w:rPr>
                                    <w:t>个月内目标价不做判断</w:t>
                                  </w:r>
                                </w:p>
                              </w:tc>
                            </w:tr>
                            <w:tr w:rsidR="00C74441" w14:paraId="03C87521" w14:textId="77777777">
                              <w:trPr>
                                <w:trHeight w:val="53"/>
                              </w:trPr>
                              <w:tc>
                                <w:tcPr>
                                  <w:tcW w:w="1419" w:type="dxa"/>
                                  <w:tcBorders>
                                    <w:bottom w:val="nil"/>
                                  </w:tcBorders>
                                  <w:shd w:val="clear" w:color="auto" w:fill="FFFFFF"/>
                                </w:tcPr>
                                <w:p w14:paraId="072AF5B5" w14:textId="77777777" w:rsidR="00C74441" w:rsidRDefault="00C74441">
                                  <w:pPr>
                                    <w:adjustRightInd w:val="0"/>
                                    <w:snapToGrid w:val="0"/>
                                    <w:spacing w:line="80" w:lineRule="exact"/>
                                    <w:rPr>
                                      <w:rFonts w:ascii="楷体" w:hAnsi="楷体" w:cs="Arial"/>
                                      <w:b/>
                                      <w:color w:val="000000"/>
                                      <w:sz w:val="6"/>
                                      <w:szCs w:val="10"/>
                                    </w:rPr>
                                  </w:pPr>
                                </w:p>
                              </w:tc>
                              <w:tc>
                                <w:tcPr>
                                  <w:tcW w:w="9569" w:type="dxa"/>
                                  <w:tcBorders>
                                    <w:bottom w:val="nil"/>
                                  </w:tcBorders>
                                  <w:shd w:val="clear" w:color="auto" w:fill="FFFFFF"/>
                                </w:tcPr>
                                <w:p w14:paraId="1620CF96" w14:textId="77777777" w:rsidR="00C74441" w:rsidRDefault="00C74441">
                                  <w:pPr>
                                    <w:adjustRightInd w:val="0"/>
                                    <w:snapToGrid w:val="0"/>
                                    <w:spacing w:line="80" w:lineRule="exact"/>
                                    <w:rPr>
                                      <w:rFonts w:ascii="楷体" w:hAnsi="楷体" w:cs="Arial"/>
                                      <w:b/>
                                      <w:sz w:val="6"/>
                                      <w:szCs w:val="10"/>
                                    </w:rPr>
                                  </w:pPr>
                                </w:p>
                              </w:tc>
                            </w:tr>
                          </w:tbl>
                          <w:p w14:paraId="3C4218FA" w14:textId="77777777" w:rsidR="00C74441" w:rsidRDefault="00C74441" w:rsidP="00C74441">
                            <w:pPr>
                              <w:adjustRightInd w:val="0"/>
                              <w:snapToGrid w:val="0"/>
                              <w:spacing w:line="240" w:lineRule="atLeast"/>
                              <w:jc w:val="left"/>
                              <w:rPr>
                                <w:rFonts w:ascii="楷体" w:hAnsi="楷体" w:cs="Times New Roman"/>
                                <w:b/>
                                <w:color w:val="004098"/>
                              </w:rPr>
                            </w:pPr>
                          </w:p>
                          <w:p w14:paraId="4EC50C2E" w14:textId="215C5991" w:rsidR="00C74441" w:rsidRDefault="00CE2A3C" w:rsidP="00C74441">
                            <w:pPr>
                              <w:adjustRightInd w:val="0"/>
                              <w:snapToGrid w:val="0"/>
                              <w:spacing w:line="240" w:lineRule="atLeast"/>
                              <w:jc w:val="left"/>
                              <w:rPr>
                                <w:rFonts w:ascii="楷体" w:hAnsi="楷体" w:cs="Times New Roman"/>
                                <w:b/>
                                <w:color w:val="004098"/>
                              </w:rPr>
                            </w:pPr>
                            <w:r>
                              <w:rPr>
                                <w:rFonts w:ascii="楷体" w:hAnsi="楷体" w:cs="Times New Roman" w:hint="eastAsia"/>
                                <w:b/>
                                <w:color w:val="004098"/>
                              </w:rPr>
                              <w:t>免责条款</w:t>
                            </w:r>
                          </w:p>
                          <w:p w14:paraId="787126FC" w14:textId="5C8C3965" w:rsidR="00C74441" w:rsidRDefault="00CE2A3C" w:rsidP="00C74441">
                            <w:pPr>
                              <w:rPr>
                                <w:rFonts w:ascii="楷体" w:hAnsi="楷体"/>
                                <w:b/>
                              </w:rPr>
                            </w:pPr>
                            <w:r>
                              <w:rPr>
                                <w:rFonts w:ascii="楷体" w:hAnsi="楷体" w:hint="eastAsia"/>
                                <w:b/>
                              </w:rPr>
                              <w:t>一般声明</w:t>
                            </w:r>
                          </w:p>
                          <w:p w14:paraId="27F18F6E" w14:textId="04C59E99" w:rsidR="00C74441" w:rsidRDefault="00CE2A3C" w:rsidP="00C74441">
                            <w:pPr>
                              <w:ind w:firstLine="420"/>
                              <w:rPr>
                                <w:rFonts w:ascii="楷体" w:hAnsi="楷体"/>
                                <w:szCs w:val="24"/>
                              </w:rPr>
                            </w:pPr>
                            <w:r>
                              <w:rPr>
                                <w:rFonts w:ascii="楷体" w:hAnsi="楷体" w:hint="eastAsia"/>
                                <w:szCs w:val="24"/>
                              </w:rPr>
                              <w:t>本报告由国元证券经纪（香港）有限公司（简称</w:t>
                            </w:r>
                            <w:r>
                              <w:rPr>
                                <w:rFonts w:ascii="楷体" w:hAnsi="楷体"/>
                                <w:szCs w:val="24"/>
                              </w:rPr>
                              <w:t>"</w:t>
                            </w:r>
                            <w:r>
                              <w:rPr>
                                <w:rFonts w:ascii="楷体" w:hAnsi="楷体" w:hint="eastAsia"/>
                                <w:szCs w:val="24"/>
                              </w:rPr>
                              <w:t>国元证券经纪（香港）</w:t>
                            </w:r>
                            <w:r>
                              <w:rPr>
                                <w:rFonts w:ascii="楷体" w:hAnsi="楷体"/>
                                <w:szCs w:val="24"/>
                              </w:rPr>
                              <w:t>"</w:t>
                            </w:r>
                            <w:r>
                              <w:rPr>
                                <w:rFonts w:ascii="楷体" w:hAnsi="楷体" w:hint="eastAsia"/>
                                <w:szCs w:val="24"/>
                              </w:rPr>
                              <w:t>）制作，国元证券经纪（香港）为国元国际控股有限公司的全资子公司。本报告中的信息均来源于我们认为可靠的已公开资料，但国元证券经纪（香港）及其关联机构对这些信息的准确性及完整性不作任何保证。本报告中的信息、意见等均仅供投资者参考之用，不构成对买卖任何证券或其他金融工具的出价</w:t>
                            </w:r>
                            <w:proofErr w:type="gramStart"/>
                            <w:r>
                              <w:rPr>
                                <w:rFonts w:ascii="楷体" w:hAnsi="楷体" w:hint="eastAsia"/>
                                <w:szCs w:val="24"/>
                              </w:rPr>
                              <w:t>或征价</w:t>
                            </w:r>
                            <w:proofErr w:type="gramEnd"/>
                            <w:r>
                              <w:rPr>
                                <w:rFonts w:ascii="楷体" w:hAnsi="楷体" w:hint="eastAsia"/>
                                <w:szCs w:val="24"/>
                              </w:rPr>
                              <w:t>或提供任何投资决策建议的服务。该等信息、意见并未考虑到获取本报告人员的具体投资目的、财务状况以及特定需求，在任何时候均不构成对任何人的个人推荐或投资操作性建议。投资者应当对本报告中的信息和意见进行独立评估，自主审慎做出决策并自行承担风险。投资者在依据本报告涉及的内客进行任何决策前，应同时考虑各自的投资目的、财务状况和特定需求，并就相关决策咨询专业顾问的意见对依据或者使用本报告所造成的一切后果，国元证券经纪（香港）及</w:t>
                            </w:r>
                            <w:r>
                              <w:rPr>
                                <w:rFonts w:ascii="楷体" w:hAnsi="楷体"/>
                                <w:szCs w:val="24"/>
                              </w:rPr>
                              <w:t>/</w:t>
                            </w:r>
                            <w:r>
                              <w:rPr>
                                <w:rFonts w:ascii="楷体" w:hAnsi="楷体" w:hint="eastAsia"/>
                                <w:szCs w:val="24"/>
                              </w:rPr>
                              <w:t>或其关联人员均不承担任何责任。</w:t>
                            </w:r>
                          </w:p>
                          <w:p w14:paraId="7918286E" w14:textId="47A4A4F9" w:rsidR="00C74441" w:rsidRDefault="00CE2A3C" w:rsidP="00C74441">
                            <w:pPr>
                              <w:ind w:firstLine="420"/>
                              <w:rPr>
                                <w:rFonts w:ascii="楷体" w:hAnsi="楷体"/>
                                <w:szCs w:val="24"/>
                              </w:rPr>
                            </w:pPr>
                            <w:r>
                              <w:rPr>
                                <w:rFonts w:ascii="楷体" w:hAnsi="楷体" w:hint="eastAsia"/>
                                <w:szCs w:val="24"/>
                              </w:rPr>
                              <w:t>本报告署名分析师与本报告中提及公司无财务权益关系。本报告所载的意见、评估及预测仅为本报告出具日的观点和判断。该等意见、评估及预测无需通知即可随时更改。在不同时期，国元证券经纪（香港）可能会发出与本报告所载意见、评估及预测不一致的研究报告。</w:t>
                            </w:r>
                          </w:p>
                          <w:p w14:paraId="2ED3EA04" w14:textId="280031E3" w:rsidR="00C74441" w:rsidRDefault="00CE2A3C" w:rsidP="00C74441">
                            <w:pPr>
                              <w:ind w:firstLine="420"/>
                              <w:rPr>
                                <w:rFonts w:ascii="楷体" w:hAnsi="楷体"/>
                                <w:szCs w:val="24"/>
                              </w:rPr>
                            </w:pPr>
                            <w:r>
                              <w:rPr>
                                <w:rFonts w:ascii="楷体" w:hAnsi="楷体" w:hint="eastAsia"/>
                                <w:szCs w:val="24"/>
                              </w:rPr>
                              <w:t>本报告署名分析</w:t>
                            </w:r>
                            <w:proofErr w:type="gramStart"/>
                            <w:r>
                              <w:rPr>
                                <w:rFonts w:ascii="楷体" w:hAnsi="楷体" w:hint="eastAsia"/>
                                <w:szCs w:val="24"/>
                              </w:rPr>
                              <w:t>师可能</w:t>
                            </w:r>
                            <w:proofErr w:type="gramEnd"/>
                            <w:r>
                              <w:rPr>
                                <w:rFonts w:ascii="楷体" w:hAnsi="楷体" w:hint="eastAsia"/>
                                <w:szCs w:val="24"/>
                              </w:rPr>
                              <w:t>会不时与国元证券经纪（香港）的客户、销售交易人员、其他业务人员或在本报告中针对可能对本报告所涉及的标的证券或其他金融工具的市场价格产生短期影响的催化剂或事件进行交易策略的讨论。这种短期影响的分析可能与分析师已发布的关于相关证券或其他金融工具的目标价、评级、估值、预测等观点相反或不一致，相关的交易策略不同于且也不影响分析</w:t>
                            </w:r>
                            <w:proofErr w:type="gramStart"/>
                            <w:r>
                              <w:rPr>
                                <w:rFonts w:ascii="楷体" w:hAnsi="楷体" w:hint="eastAsia"/>
                                <w:szCs w:val="24"/>
                              </w:rPr>
                              <w:t>师关于</w:t>
                            </w:r>
                            <w:proofErr w:type="gramEnd"/>
                            <w:r>
                              <w:rPr>
                                <w:rFonts w:ascii="楷体" w:hAnsi="楷体" w:hint="eastAsia"/>
                                <w:szCs w:val="24"/>
                              </w:rPr>
                              <w:t>其所研究标的证券或其他金融工具的基本面评级或评分。</w:t>
                            </w:r>
                          </w:p>
                          <w:p w14:paraId="12C55E38" w14:textId="05EBBBCD" w:rsidR="00C74441" w:rsidRDefault="00CE2A3C" w:rsidP="00C74441">
                            <w:pPr>
                              <w:ind w:firstLine="420"/>
                              <w:rPr>
                                <w:rFonts w:ascii="楷体" w:hAnsi="楷体"/>
                                <w:szCs w:val="24"/>
                              </w:rPr>
                            </w:pPr>
                            <w:r>
                              <w:rPr>
                                <w:rFonts w:ascii="楷体" w:hAnsi="楷体" w:hint="eastAsia"/>
                                <w:szCs w:val="24"/>
                              </w:rPr>
                              <w:t>国元证券经纪（香港）的销售人员、交易人员以及其他专业人士可能会依据不同假设和标准、采用不同的分析方法而口头或书面发表与本报告意见及建议不一致的市场评论和</w:t>
                            </w:r>
                            <w:r>
                              <w:rPr>
                                <w:rFonts w:ascii="楷体" w:hAnsi="楷体"/>
                                <w:szCs w:val="24"/>
                              </w:rPr>
                              <w:t>/</w:t>
                            </w:r>
                            <w:r>
                              <w:rPr>
                                <w:rFonts w:ascii="楷体" w:hAnsi="楷体" w:hint="eastAsia"/>
                                <w:szCs w:val="24"/>
                              </w:rPr>
                              <w:t>或交易观点。国元证券经纪（香港）没有将此意见及建议向报告所有接收者进行更新的义务。国元国际控股有限公司的资产管理部门、自营部门以及其他投资业务部</w:t>
                            </w:r>
                            <w:proofErr w:type="gramStart"/>
                            <w:r>
                              <w:rPr>
                                <w:rFonts w:ascii="楷体" w:hAnsi="楷体" w:hint="eastAsia"/>
                                <w:szCs w:val="24"/>
                              </w:rPr>
                              <w:t>门可能</w:t>
                            </w:r>
                            <w:proofErr w:type="gramEnd"/>
                            <w:r>
                              <w:rPr>
                                <w:rFonts w:ascii="楷体" w:hAnsi="楷体" w:hint="eastAsia"/>
                                <w:szCs w:val="24"/>
                              </w:rPr>
                              <w:t>独立做出与本报告中的意见不一致的投资决策。</w:t>
                            </w:r>
                          </w:p>
                          <w:p w14:paraId="38BC37C0" w14:textId="1B16ADE5" w:rsidR="00C74441" w:rsidRDefault="00CE2A3C" w:rsidP="00C74441">
                            <w:pPr>
                              <w:ind w:firstLine="420"/>
                              <w:rPr>
                                <w:rFonts w:ascii="楷体" w:hAnsi="楷体"/>
                                <w:szCs w:val="24"/>
                              </w:rPr>
                            </w:pPr>
                            <w:r>
                              <w:rPr>
                                <w:rFonts w:ascii="楷体" w:hAnsi="楷体" w:hint="eastAsia"/>
                                <w:szCs w:val="24"/>
                              </w:rPr>
                              <w:t>除非另行说明，本报告中所引用的关于业绩的数据代表过往表现。过往的业绩表现亦不应作为日后回报的预示。我们不承诺也不保证，任何所预示的回报会得以实现。</w:t>
                            </w:r>
                          </w:p>
                          <w:p w14:paraId="27B39D70" w14:textId="6B839144" w:rsidR="00C74441" w:rsidRDefault="00CE2A3C" w:rsidP="00C74441">
                            <w:pPr>
                              <w:ind w:firstLine="420"/>
                              <w:rPr>
                                <w:rFonts w:ascii="楷体" w:hAnsi="楷体"/>
                                <w:szCs w:val="24"/>
                              </w:rPr>
                            </w:pPr>
                            <w:r>
                              <w:rPr>
                                <w:rFonts w:ascii="楷体" w:hAnsi="楷体" w:hint="eastAsia"/>
                                <w:szCs w:val="24"/>
                              </w:rPr>
                              <w:t>分析中所做的预测可能是基于相应的假设。任何假设的变化可能会显着地影响所预测的回报。</w:t>
                            </w:r>
                          </w:p>
                          <w:p w14:paraId="30AB9F9D" w14:textId="7815AE68" w:rsidR="00C74441" w:rsidRDefault="00CE2A3C" w:rsidP="00C74441">
                            <w:pPr>
                              <w:ind w:firstLine="420"/>
                              <w:rPr>
                                <w:rFonts w:ascii="楷体" w:hAnsi="楷体"/>
                                <w:szCs w:val="24"/>
                              </w:rPr>
                            </w:pPr>
                            <w:r>
                              <w:rPr>
                                <w:rFonts w:ascii="楷体" w:hAnsi="楷体" w:hint="eastAsia"/>
                                <w:szCs w:val="24"/>
                              </w:rPr>
                              <w:t>本报告提供给某接收人是基于该接收人被认为有能力独立评估投资风险并就投资决策能行使独立判断。投资的独立判断是指，投资决策是投资者自身基于对潜在投资的目标、需求、机会、风险、市场因素及其他投资考虑而独立做出的。</w:t>
                            </w:r>
                          </w:p>
                          <w:p w14:paraId="43172047" w14:textId="4E9BBAD0" w:rsidR="00C74441" w:rsidRDefault="00CE2A3C" w:rsidP="00C74441">
                            <w:pPr>
                              <w:rPr>
                                <w:rFonts w:ascii="楷体" w:hAnsi="楷体"/>
                                <w:highlight w:val="yellow"/>
                              </w:rPr>
                            </w:pPr>
                            <w:r>
                              <w:rPr>
                                <w:rFonts w:ascii="楷体" w:hAnsi="楷体" w:hint="eastAsia"/>
                                <w:b/>
                              </w:rPr>
                              <w:t>特别声明</w:t>
                            </w:r>
                          </w:p>
                          <w:p w14:paraId="693E2041" w14:textId="40EA56C5" w:rsidR="00C74441" w:rsidRDefault="00CE2A3C" w:rsidP="00C74441">
                            <w:pPr>
                              <w:spacing w:line="320" w:lineRule="exact"/>
                              <w:ind w:firstLine="420"/>
                              <w:rPr>
                                <w:rFonts w:ascii="楷体" w:hAnsi="楷体"/>
                                <w:caps/>
                                <w:szCs w:val="24"/>
                              </w:rPr>
                            </w:pPr>
                            <w:r>
                              <w:rPr>
                                <w:rFonts w:ascii="楷体" w:hAnsi="楷体" w:hint="eastAsia"/>
                                <w:szCs w:val="24"/>
                              </w:rPr>
                              <w:t>在法律许可的情况下，国元证券经纪（香港）可能与本报告中提及公司正在建立或争取建立业务关系或服务关系。因此，投资者应当考虑到国元证券经纪（香港）及</w:t>
                            </w:r>
                            <w:r>
                              <w:rPr>
                                <w:rFonts w:ascii="楷体" w:hAnsi="楷体"/>
                                <w:szCs w:val="24"/>
                              </w:rPr>
                              <w:t>/</w:t>
                            </w:r>
                            <w:r>
                              <w:rPr>
                                <w:rFonts w:ascii="楷体" w:hAnsi="楷体" w:hint="eastAsia"/>
                                <w:szCs w:val="24"/>
                              </w:rPr>
                              <w:t>或其相关人员可能存在影响本报告观点客观性的潜在利益冲突。</w:t>
                            </w:r>
                          </w:p>
                          <w:p w14:paraId="0F683D00" w14:textId="140B9601" w:rsidR="00C74441" w:rsidRDefault="00CE2A3C" w:rsidP="00C74441">
                            <w:pPr>
                              <w:spacing w:line="320" w:lineRule="exact"/>
                              <w:ind w:firstLine="420"/>
                              <w:rPr>
                                <w:rFonts w:ascii="楷体" w:hAnsi="楷体"/>
                                <w:caps/>
                                <w:szCs w:val="24"/>
                              </w:rPr>
                            </w:pPr>
                            <w:r>
                              <w:rPr>
                                <w:rFonts w:ascii="楷体" w:hAnsi="楷体" w:hint="eastAsia"/>
                                <w:szCs w:val="24"/>
                              </w:rPr>
                              <w:t>本报告的版权仅为国元证券经纪（香港）</w:t>
                            </w:r>
                            <w:r>
                              <w:rPr>
                                <w:rFonts w:ascii="楷体" w:hAnsi="楷体" w:hint="eastAsia"/>
                                <w:caps/>
                                <w:szCs w:val="24"/>
                              </w:rPr>
                              <w:t>所有，未经书面许可任何机构和个人不得以任何形式转发、翻版。复制、刊登、发表或引用。</w:t>
                            </w:r>
                          </w:p>
                          <w:p w14:paraId="2CF8E53E" w14:textId="0F9EF9D8" w:rsidR="00C74441" w:rsidRDefault="00CE2A3C" w:rsidP="00C74441">
                            <w:pPr>
                              <w:rPr>
                                <w:rFonts w:ascii="楷体" w:hAnsi="楷体"/>
                                <w:b/>
                              </w:rPr>
                            </w:pPr>
                            <w:r>
                              <w:rPr>
                                <w:rFonts w:ascii="楷体" w:hAnsi="楷体" w:hint="eastAsia"/>
                                <w:b/>
                              </w:rPr>
                              <w:t>分析员声明</w:t>
                            </w:r>
                          </w:p>
                          <w:p w14:paraId="637F56DC" w14:textId="6A690E7E" w:rsidR="00C74441" w:rsidRDefault="00CE2A3C" w:rsidP="00C74441">
                            <w:pPr>
                              <w:spacing w:line="320" w:lineRule="exact"/>
                              <w:ind w:firstLine="420"/>
                              <w:rPr>
                                <w:rFonts w:ascii="楷体" w:hAnsi="楷体"/>
                                <w:caps/>
                                <w:szCs w:val="24"/>
                              </w:rPr>
                            </w:pPr>
                            <w:r>
                              <w:rPr>
                                <w:rFonts w:ascii="楷体" w:hAnsi="楷体" w:hint="eastAsia"/>
                                <w:szCs w:val="24"/>
                              </w:rPr>
                              <w:t>本人具备香港证监会授予的第四类牌照——就证券提供意见。本人以勤勉的职业态度，独立、客观地出具本报告。本报告清晰准确地反映了本人的研究观点。本人不曾因，不因，也将不会因本报告中的具体推荐意见或观点而直接或间接收到任何形式的补偿。</w:t>
                            </w:r>
                          </w:p>
                          <w:p w14:paraId="27341FDF" w14:textId="72346787" w:rsidR="00C74441" w:rsidRDefault="00CE2A3C" w:rsidP="00C74441">
                            <w:pPr>
                              <w:spacing w:line="240" w:lineRule="exact"/>
                              <w:ind w:firstLine="420"/>
                              <w:jc w:val="right"/>
                              <w:rPr>
                                <w:rFonts w:ascii="楷体" w:hAnsi="楷体" w:cs="Times New Roman"/>
                                <w:b/>
                                <w:color w:val="004098"/>
                                <w:sz w:val="16"/>
                                <w:szCs w:val="18"/>
                              </w:rPr>
                            </w:pPr>
                            <w:r>
                              <w:rPr>
                                <w:rFonts w:ascii="楷体" w:hAnsi="楷体" w:cs="Times New Roman" w:hint="eastAsia"/>
                                <w:b/>
                                <w:color w:val="004098"/>
                                <w:sz w:val="16"/>
                                <w:szCs w:val="18"/>
                              </w:rPr>
                              <w:t>国</w:t>
                            </w:r>
                            <w:r>
                              <w:rPr>
                                <w:rFonts w:ascii="楷体" w:hAnsi="楷体" w:cs="Times New Roman"/>
                                <w:b/>
                                <w:color w:val="004098"/>
                                <w:sz w:val="16"/>
                                <w:szCs w:val="18"/>
                              </w:rPr>
                              <w:t xml:space="preserve"> </w:t>
                            </w:r>
                            <w:r>
                              <w:rPr>
                                <w:rFonts w:ascii="楷体" w:hAnsi="楷体" w:cs="Times New Roman" w:hint="eastAsia"/>
                                <w:b/>
                                <w:color w:val="004098"/>
                                <w:sz w:val="16"/>
                                <w:szCs w:val="18"/>
                              </w:rPr>
                              <w:t>元</w:t>
                            </w:r>
                            <w:r>
                              <w:rPr>
                                <w:rFonts w:ascii="楷体" w:hAnsi="楷体" w:cs="Times New Roman"/>
                                <w:b/>
                                <w:color w:val="004098"/>
                                <w:sz w:val="16"/>
                                <w:szCs w:val="18"/>
                              </w:rPr>
                              <w:t xml:space="preserve"> </w:t>
                            </w:r>
                            <w:r>
                              <w:rPr>
                                <w:rFonts w:ascii="楷体" w:hAnsi="楷体" w:cs="Times New Roman" w:hint="eastAsia"/>
                                <w:b/>
                                <w:color w:val="004098"/>
                                <w:sz w:val="16"/>
                                <w:szCs w:val="18"/>
                              </w:rPr>
                              <w:t>国</w:t>
                            </w:r>
                            <w:r>
                              <w:rPr>
                                <w:rFonts w:ascii="楷体" w:hAnsi="楷体" w:cs="Times New Roman"/>
                                <w:b/>
                                <w:color w:val="004098"/>
                                <w:sz w:val="16"/>
                                <w:szCs w:val="18"/>
                              </w:rPr>
                              <w:t xml:space="preserve"> </w:t>
                            </w:r>
                            <w:r>
                              <w:rPr>
                                <w:rFonts w:ascii="楷体" w:hAnsi="楷体" w:cs="Times New Roman" w:hint="eastAsia"/>
                                <w:b/>
                                <w:color w:val="004098"/>
                                <w:sz w:val="16"/>
                                <w:szCs w:val="18"/>
                              </w:rPr>
                              <w:t>际</w:t>
                            </w:r>
                            <w:r>
                              <w:rPr>
                                <w:rFonts w:ascii="楷体" w:hAnsi="楷体" w:cs="Times New Roman"/>
                                <w:b/>
                                <w:color w:val="004098"/>
                                <w:sz w:val="16"/>
                                <w:szCs w:val="18"/>
                              </w:rPr>
                              <w:t xml:space="preserve"> </w:t>
                            </w:r>
                            <w:r>
                              <w:rPr>
                                <w:rFonts w:ascii="楷体" w:hAnsi="楷体" w:cs="Times New Roman" w:hint="eastAsia"/>
                                <w:b/>
                                <w:color w:val="004098"/>
                                <w:sz w:val="16"/>
                                <w:szCs w:val="18"/>
                              </w:rPr>
                              <w:t>控</w:t>
                            </w:r>
                            <w:r>
                              <w:rPr>
                                <w:rFonts w:ascii="楷体" w:hAnsi="楷体" w:cs="Times New Roman"/>
                                <w:b/>
                                <w:color w:val="004098"/>
                                <w:sz w:val="16"/>
                                <w:szCs w:val="18"/>
                              </w:rPr>
                              <w:t xml:space="preserve"> </w:t>
                            </w:r>
                            <w:r>
                              <w:rPr>
                                <w:rFonts w:ascii="楷体" w:hAnsi="楷体" w:cs="Times New Roman" w:hint="eastAsia"/>
                                <w:b/>
                                <w:color w:val="004098"/>
                                <w:sz w:val="16"/>
                                <w:szCs w:val="18"/>
                              </w:rPr>
                              <w:t>股</w:t>
                            </w:r>
                            <w:r>
                              <w:rPr>
                                <w:rFonts w:ascii="楷体" w:hAnsi="楷体" w:cs="Times New Roman"/>
                                <w:b/>
                                <w:color w:val="004098"/>
                                <w:sz w:val="16"/>
                                <w:szCs w:val="18"/>
                              </w:rPr>
                              <w:t xml:space="preserve"> </w:t>
                            </w:r>
                            <w:r>
                              <w:rPr>
                                <w:rFonts w:ascii="楷体" w:hAnsi="楷体" w:cs="Times New Roman" w:hint="eastAsia"/>
                                <w:b/>
                                <w:color w:val="004098"/>
                                <w:sz w:val="16"/>
                                <w:szCs w:val="18"/>
                              </w:rPr>
                              <w:t>有</w:t>
                            </w:r>
                            <w:r>
                              <w:rPr>
                                <w:rFonts w:ascii="楷体" w:hAnsi="楷体" w:cs="Times New Roman"/>
                                <w:b/>
                                <w:color w:val="004098"/>
                                <w:sz w:val="16"/>
                                <w:szCs w:val="18"/>
                              </w:rPr>
                              <w:t xml:space="preserve"> </w:t>
                            </w:r>
                            <w:r>
                              <w:rPr>
                                <w:rFonts w:ascii="楷体" w:hAnsi="楷体" w:cs="Times New Roman" w:hint="eastAsia"/>
                                <w:b/>
                                <w:color w:val="004098"/>
                                <w:sz w:val="16"/>
                                <w:szCs w:val="18"/>
                              </w:rPr>
                              <w:t>限</w:t>
                            </w:r>
                            <w:r>
                              <w:rPr>
                                <w:rFonts w:ascii="楷体" w:hAnsi="楷体" w:cs="Times New Roman"/>
                                <w:b/>
                                <w:color w:val="004098"/>
                                <w:sz w:val="16"/>
                                <w:szCs w:val="18"/>
                              </w:rPr>
                              <w:t xml:space="preserve"> </w:t>
                            </w:r>
                            <w:r>
                              <w:rPr>
                                <w:rFonts w:ascii="楷体" w:hAnsi="楷体" w:cs="Times New Roman" w:hint="eastAsia"/>
                                <w:b/>
                                <w:color w:val="004098"/>
                                <w:sz w:val="16"/>
                                <w:szCs w:val="18"/>
                              </w:rPr>
                              <w:t>公</w:t>
                            </w:r>
                            <w:r>
                              <w:rPr>
                                <w:rFonts w:ascii="楷体" w:hAnsi="楷体" w:cs="Times New Roman"/>
                                <w:b/>
                                <w:color w:val="004098"/>
                                <w:sz w:val="16"/>
                                <w:szCs w:val="18"/>
                              </w:rPr>
                              <w:t xml:space="preserve"> </w:t>
                            </w:r>
                            <w:r>
                              <w:rPr>
                                <w:rFonts w:ascii="楷体" w:hAnsi="楷体" w:cs="Times New Roman" w:hint="eastAsia"/>
                                <w:b/>
                                <w:color w:val="004098"/>
                                <w:sz w:val="16"/>
                                <w:szCs w:val="18"/>
                              </w:rPr>
                              <w:t>司</w:t>
                            </w:r>
                          </w:p>
                          <w:p w14:paraId="15B781B6" w14:textId="4DD634B5" w:rsidR="00C74441" w:rsidRDefault="00CE2A3C" w:rsidP="00C74441">
                            <w:pPr>
                              <w:adjustRightInd w:val="0"/>
                              <w:snapToGrid w:val="0"/>
                              <w:spacing w:line="240" w:lineRule="exact"/>
                              <w:jc w:val="right"/>
                              <w:rPr>
                                <w:rFonts w:ascii="楷体" w:hAnsi="楷体" w:cs="Times New Roman"/>
                                <w:b/>
                                <w:color w:val="004098"/>
                                <w:sz w:val="16"/>
                                <w:szCs w:val="18"/>
                              </w:rPr>
                            </w:pPr>
                            <w:r>
                              <w:rPr>
                                <w:rFonts w:ascii="楷体" w:hAnsi="楷体" w:cs="Times New Roman" w:hint="eastAsia"/>
                                <w:b/>
                                <w:color w:val="004098"/>
                                <w:sz w:val="16"/>
                                <w:szCs w:val="18"/>
                              </w:rPr>
                              <w:t>香港中环康乐广场</w:t>
                            </w:r>
                            <w:r>
                              <w:rPr>
                                <w:rFonts w:ascii="楷体" w:hAnsi="楷体" w:cs="Times New Roman"/>
                                <w:b/>
                                <w:color w:val="004098"/>
                                <w:sz w:val="16"/>
                                <w:szCs w:val="18"/>
                              </w:rPr>
                              <w:t>8</w:t>
                            </w:r>
                            <w:r>
                              <w:rPr>
                                <w:rFonts w:ascii="楷体" w:hAnsi="楷体" w:cs="Times New Roman" w:hint="eastAsia"/>
                                <w:b/>
                                <w:color w:val="004098"/>
                                <w:sz w:val="16"/>
                                <w:szCs w:val="18"/>
                              </w:rPr>
                              <w:t>号交易广场三期</w:t>
                            </w:r>
                            <w:r>
                              <w:rPr>
                                <w:rFonts w:ascii="楷体" w:hAnsi="楷体" w:cs="Times New Roman"/>
                                <w:b/>
                                <w:color w:val="004098"/>
                                <w:sz w:val="16"/>
                                <w:szCs w:val="18"/>
                              </w:rPr>
                              <w:t>17</w:t>
                            </w:r>
                            <w:r>
                              <w:rPr>
                                <w:rFonts w:ascii="楷体" w:hAnsi="楷体" w:cs="Times New Roman" w:hint="eastAsia"/>
                                <w:b/>
                                <w:color w:val="004098"/>
                                <w:sz w:val="16"/>
                                <w:szCs w:val="18"/>
                              </w:rPr>
                              <w:t>楼</w:t>
                            </w:r>
                          </w:p>
                          <w:p w14:paraId="3BF7D279" w14:textId="2173CD93" w:rsidR="00C74441" w:rsidRDefault="00CE2A3C" w:rsidP="00C74441">
                            <w:pPr>
                              <w:adjustRightInd w:val="0"/>
                              <w:snapToGrid w:val="0"/>
                              <w:spacing w:line="240" w:lineRule="exact"/>
                              <w:jc w:val="right"/>
                              <w:rPr>
                                <w:rFonts w:ascii="楷体" w:hAnsi="楷体" w:cs="Times New Roman"/>
                                <w:b/>
                                <w:color w:val="004098"/>
                                <w:sz w:val="16"/>
                                <w:szCs w:val="18"/>
                              </w:rPr>
                            </w:pPr>
                            <w:r>
                              <w:rPr>
                                <w:rFonts w:ascii="楷体" w:hAnsi="楷体" w:cs="Times New Roman" w:hint="eastAsia"/>
                                <w:b/>
                                <w:color w:val="004098"/>
                                <w:sz w:val="16"/>
                                <w:szCs w:val="18"/>
                              </w:rPr>
                              <w:t>电</w:t>
                            </w:r>
                            <w:r>
                              <w:rPr>
                                <w:rFonts w:ascii="楷体" w:hAnsi="楷体" w:cs="Times New Roman"/>
                                <w:b/>
                                <w:color w:val="004098"/>
                                <w:sz w:val="16"/>
                                <w:szCs w:val="18"/>
                              </w:rPr>
                              <w:t xml:space="preserve">       </w:t>
                            </w:r>
                            <w:r>
                              <w:rPr>
                                <w:rFonts w:ascii="楷体" w:hAnsi="楷体" w:cs="Times New Roman" w:hint="eastAsia"/>
                                <w:b/>
                                <w:color w:val="004098"/>
                                <w:sz w:val="16"/>
                                <w:szCs w:val="18"/>
                              </w:rPr>
                              <w:t>话：</w:t>
                            </w:r>
                            <w:r>
                              <w:rPr>
                                <w:rFonts w:ascii="楷体" w:hAnsi="楷体" w:cs="Times New Roman"/>
                                <w:b/>
                                <w:color w:val="004098"/>
                                <w:sz w:val="16"/>
                                <w:szCs w:val="18"/>
                              </w:rPr>
                              <w:t>(852) 3769 6888</w:t>
                            </w:r>
                          </w:p>
                          <w:p w14:paraId="2D523E01" w14:textId="06C4EEAD" w:rsidR="00C74441" w:rsidRDefault="00CE2A3C" w:rsidP="00C74441">
                            <w:pPr>
                              <w:adjustRightInd w:val="0"/>
                              <w:snapToGrid w:val="0"/>
                              <w:spacing w:line="240" w:lineRule="exact"/>
                              <w:jc w:val="right"/>
                              <w:rPr>
                                <w:rFonts w:ascii="楷体" w:hAnsi="楷体" w:cs="Times New Roman"/>
                                <w:b/>
                                <w:color w:val="004098"/>
                                <w:sz w:val="16"/>
                                <w:szCs w:val="18"/>
                              </w:rPr>
                            </w:pPr>
                            <w:r>
                              <w:rPr>
                                <w:rFonts w:ascii="楷体" w:hAnsi="楷体" w:cs="Times New Roman" w:hint="eastAsia"/>
                                <w:b/>
                                <w:color w:val="004098"/>
                                <w:sz w:val="16"/>
                                <w:szCs w:val="18"/>
                              </w:rPr>
                              <w:t>传</w:t>
                            </w:r>
                            <w:r>
                              <w:rPr>
                                <w:rFonts w:ascii="楷体" w:hAnsi="楷体" w:cs="Times New Roman"/>
                                <w:b/>
                                <w:color w:val="004098"/>
                                <w:sz w:val="16"/>
                                <w:szCs w:val="18"/>
                              </w:rPr>
                              <w:t xml:space="preserve">       </w:t>
                            </w:r>
                            <w:r>
                              <w:rPr>
                                <w:rFonts w:ascii="楷体" w:hAnsi="楷体" w:cs="Times New Roman" w:hint="eastAsia"/>
                                <w:b/>
                                <w:color w:val="004098"/>
                                <w:sz w:val="16"/>
                                <w:szCs w:val="18"/>
                              </w:rPr>
                              <w:t>真：</w:t>
                            </w:r>
                            <w:r>
                              <w:rPr>
                                <w:rFonts w:ascii="楷体" w:hAnsi="楷体" w:cs="Times New Roman"/>
                                <w:b/>
                                <w:color w:val="004098"/>
                                <w:sz w:val="16"/>
                                <w:szCs w:val="18"/>
                              </w:rPr>
                              <w:t>(852) 3769 6999</w:t>
                            </w:r>
                          </w:p>
                          <w:p w14:paraId="4721823B" w14:textId="2C2B268B" w:rsidR="00C74441" w:rsidRDefault="00CE2A3C" w:rsidP="00C74441">
                            <w:pPr>
                              <w:adjustRightInd w:val="0"/>
                              <w:snapToGrid w:val="0"/>
                              <w:spacing w:line="240" w:lineRule="exact"/>
                              <w:jc w:val="right"/>
                              <w:rPr>
                                <w:rFonts w:ascii="楷体" w:hAnsi="楷体" w:cs="Times New Roman"/>
                                <w:b/>
                                <w:color w:val="004098"/>
                                <w:sz w:val="16"/>
                                <w:szCs w:val="18"/>
                              </w:rPr>
                            </w:pPr>
                            <w:r>
                              <w:rPr>
                                <w:rFonts w:ascii="楷体" w:hAnsi="楷体" w:cs="Times New Roman" w:hint="eastAsia"/>
                                <w:b/>
                                <w:color w:val="004098"/>
                                <w:sz w:val="16"/>
                                <w:szCs w:val="18"/>
                              </w:rPr>
                              <w:t>服务热线：</w:t>
                            </w:r>
                            <w:r>
                              <w:rPr>
                                <w:rFonts w:ascii="楷体" w:hAnsi="楷体" w:cs="Times New Roman"/>
                                <w:b/>
                                <w:color w:val="004098"/>
                                <w:sz w:val="16"/>
                                <w:szCs w:val="18"/>
                              </w:rPr>
                              <w:t>400-888-1313</w:t>
                            </w:r>
                          </w:p>
                          <w:p w14:paraId="6B8DF16A" w14:textId="718100B5" w:rsidR="00C74441" w:rsidRDefault="00CE2A3C" w:rsidP="00C74441">
                            <w:pPr>
                              <w:spacing w:line="240" w:lineRule="exact"/>
                              <w:ind w:firstLineChars="1500" w:firstLine="2409"/>
                              <w:jc w:val="right"/>
                              <w:rPr>
                                <w:rFonts w:ascii="楷体" w:hAnsi="楷体" w:cs="Times New Roman"/>
                                <w:b/>
                                <w:color w:val="004098"/>
                                <w:sz w:val="20"/>
                              </w:rPr>
                            </w:pPr>
                            <w:r>
                              <w:rPr>
                                <w:rFonts w:ascii="楷体" w:hAnsi="楷体" w:cs="Times New Roman" w:hint="eastAsia"/>
                                <w:b/>
                                <w:color w:val="004098"/>
                                <w:sz w:val="16"/>
                                <w:szCs w:val="18"/>
                              </w:rPr>
                              <w:t>公司网址：</w:t>
                            </w:r>
                            <w:r>
                              <w:rPr>
                                <w:rFonts w:ascii="楷体" w:hAnsi="楷体" w:cs="Times New Roman"/>
                                <w:b/>
                                <w:color w:val="004098"/>
                                <w:sz w:val="16"/>
                                <w:szCs w:val="18"/>
                              </w:rPr>
                              <w:t>http://www.gyzq.com.h</w:t>
                            </w:r>
                            <w:r>
                              <w:rPr>
                                <w:rFonts w:ascii="楷体" w:hAnsi="楷体" w:cs="Times New Roman"/>
                                <w:b/>
                                <w:color w:val="004098"/>
                                <w:sz w:val="20"/>
                              </w:rPr>
                              <w:t>k</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EF11772" id="文本框 1743413" o:spid="_x0000_s1027" type="#_x0000_t202" style="position:absolute;left:0;text-align:left;margin-left:-25pt;margin-top:59.25pt;width:549.8pt;height:780pt;z-index:30613811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" filled="f" stroked="f">
                <v:textbox>
                  <w:txbxContent>
                    <w:p w14:paraId="128E34C2" w14:textId="19D0B30D" w:rsidR="00C74441" w:rsidRDefault="00CE2A3C" w:rsidP="00C74441">
                      <w:pPr>
                        <w:jc w:val="center"/>
                        <w:rPr>
                          <w:rFonts w:ascii="楷体" w:hAnsi="楷体"/>
                          <w:b/>
                          <w:iCs/>
                          <w:color w:val="004098"/>
                          <w:sz w:val="32"/>
                          <w:szCs w:val="36"/>
                        </w:rPr>
                      </w:pPr>
                      <w:r>
                        <w:rPr>
                          <w:rFonts w:ascii="楷体" w:hAnsi="楷体" w:hint="eastAsia"/>
                          <w:b/>
                          <w:iCs/>
                          <w:color w:val="004098"/>
                          <w:sz w:val="32"/>
                          <w:szCs w:val="36"/>
                        </w:rPr>
                        <w:t>投资评级定义和免责条款</w:t>
                      </w:r>
                    </w:p>
                    <w:p w14:paraId="748AC3BA" w14:textId="77777777" w:rsidR="00C74441" w:rsidRDefault="00C74441" w:rsidP="00C74441">
                      <w:pPr>
                        <w:adjustRightInd w:val="0"/>
                        <w:snapToGrid w:val="0"/>
                        <w:spacing w:line="180" w:lineRule="auto"/>
                        <w:rPr>
                          <w:rFonts w:ascii="楷体" w:hAnsi="楷体" w:cs="Times New Roman"/>
                          <w:b/>
                          <w:color w:val="004098"/>
                          <w:sz w:val="10"/>
                        </w:rPr>
                      </w:pPr>
                    </w:p>
                    <w:p w14:paraId="0A839AD4" w14:textId="04221747" w:rsidR="00C74441" w:rsidRDefault="00CE2A3C" w:rsidP="00C74441">
                      <w:pPr>
                        <w:adjustRightInd w:val="0"/>
                        <w:snapToGrid w:val="0"/>
                        <w:spacing w:line="180" w:lineRule="auto"/>
                        <w:rPr>
                          <w:rFonts w:ascii="楷体" w:hAnsi="楷体" w:cs="Times New Roman"/>
                          <w:b/>
                          <w:color w:val="004098"/>
                        </w:rPr>
                      </w:pPr>
                      <w:r>
                        <w:rPr>
                          <w:rFonts w:ascii="楷体" w:hAnsi="楷体" w:cs="Times New Roman" w:hint="eastAsia"/>
                          <w:b/>
                          <w:color w:val="004098"/>
                        </w:rPr>
                        <w:t>投资评级</w:t>
                      </w:r>
                    </w:p>
                    <w:tbl>
                      <w:tblPr>
                        <w:tblW w:w="10988" w:type="dxa"/>
                        <w:tblInd w:w="28" w:type="dxa"/>
                        <w:tblBorders>
                          <w:top w:val="single" w:sz="12" w:space="0" w:color="auto"/>
                          <w:bottom w:val="single" w:sz="12" w:space="0" w:color="auto"/>
                          <w:insideH w:val="single" w:sz="12" w:space="0" w:color="auto"/>
                        </w:tblBorders>
                        <w:shd w:val="clear" w:color="auto" w:fill="FFFFFF"/>
                        <w:tblLayout w:type="fixed"/>
                        <w:tblCellMar>
                          <w:left w:w="28" w:type="dxa"/>
                          <w:right w:w="28" w:type="dxa"/>
                        </w:tblCellMar>
                        <w:tblLook w:val="04A0" w:firstRow="1" w:lastRow="0" w:firstColumn="1" w:lastColumn="0" w:noHBand="0" w:noVBand="1"/>
                      </w:tblPr>
                      <w:tblGrid>
                        <w:gridCol w:w="1419"/>
                        <w:gridCol w:w="9569"/>
                      </w:tblGrid>
                      <w:tr w:rsidR="00C74441" w14:paraId="6D1875C4" w14:textId="77777777">
                        <w:trPr>
                          <w:trHeight w:val="232"/>
                        </w:trPr>
                        <w:tc>
                          <w:tcPr>
                            <w:tcW w:w="1419" w:type="dxa"/>
                            <w:shd w:val="clear" w:color="auto" w:fill="FFFFFF"/>
                          </w:tcPr>
                          <w:p w14:paraId="75D76BFD" w14:textId="00A76B31" w:rsidR="00C74441" w:rsidRDefault="00CE2A3C">
                            <w:pPr>
                              <w:adjustRightInd w:val="0"/>
                              <w:snapToGrid w:val="0"/>
                              <w:spacing w:line="240" w:lineRule="atLeast"/>
                              <w:rPr>
                                <w:rFonts w:ascii="楷体" w:hAnsi="楷体" w:cs="Arial"/>
                                <w:bCs/>
                              </w:rPr>
                            </w:pPr>
                            <w:r>
                              <w:rPr>
                                <w:rFonts w:ascii="楷体" w:hAnsi="楷体" w:cs="Arial" w:hint="eastAsia"/>
                                <w:bCs/>
                              </w:rPr>
                              <w:t>买入</w:t>
                            </w:r>
                            <w:r>
                              <w:rPr>
                                <w:rFonts w:ascii="楷体" w:hAnsi="楷体" w:cs="Arial"/>
                                <w:bCs/>
                              </w:rPr>
                              <w:t xml:space="preserve">  </w:t>
                            </w:r>
                          </w:p>
                        </w:tc>
                        <w:tc>
                          <w:tcPr>
                            <w:tcW w:w="9569" w:type="dxa"/>
                            <w:shd w:val="clear" w:color="auto" w:fill="FFFFFF"/>
                          </w:tcPr>
                          <w:p w14:paraId="6456B2DB" w14:textId="3F8188F0" w:rsidR="00C74441" w:rsidRDefault="00CE2A3C">
                            <w:pPr>
                              <w:adjustRightInd w:val="0"/>
                              <w:snapToGrid w:val="0"/>
                              <w:spacing w:line="240" w:lineRule="atLeast"/>
                              <w:rPr>
                                <w:rFonts w:ascii="楷体" w:hAnsi="楷体" w:cs="Arial"/>
                                <w:bCs/>
                              </w:rPr>
                            </w:pPr>
                            <w:r>
                              <w:rPr>
                                <w:rFonts w:ascii="楷体" w:hAnsi="楷体" w:cs="Arial"/>
                                <w:bCs/>
                              </w:rPr>
                              <w:t xml:space="preserve"> </w:t>
                            </w:r>
                            <w:r>
                              <w:rPr>
                                <w:rFonts w:ascii="楷体" w:hAnsi="楷体" w:cs="Arial" w:hint="eastAsia"/>
                                <w:bCs/>
                              </w:rPr>
                              <w:t>未来</w:t>
                            </w:r>
                            <w:r>
                              <w:rPr>
                                <w:rFonts w:ascii="楷体" w:hAnsi="楷体" w:cs="Arial"/>
                                <w:bCs/>
                              </w:rPr>
                              <w:t>12</w:t>
                            </w:r>
                            <w:r>
                              <w:rPr>
                                <w:rFonts w:ascii="楷体" w:hAnsi="楷体" w:cs="Arial" w:hint="eastAsia"/>
                                <w:bCs/>
                              </w:rPr>
                              <w:t>个月内目标价距离</w:t>
                            </w:r>
                            <w:proofErr w:type="gramStart"/>
                            <w:r>
                              <w:rPr>
                                <w:rFonts w:ascii="楷体" w:hAnsi="楷体" w:cs="Arial" w:hint="eastAsia"/>
                                <w:bCs/>
                              </w:rPr>
                              <w:t>现价涨幅</w:t>
                            </w:r>
                            <w:proofErr w:type="gramEnd"/>
                            <w:r>
                              <w:rPr>
                                <w:rFonts w:ascii="楷体" w:hAnsi="楷体" w:cs="Arial" w:hint="eastAsia"/>
                                <w:bCs/>
                              </w:rPr>
                              <w:t>不小于</w:t>
                            </w:r>
                            <w:r>
                              <w:rPr>
                                <w:rFonts w:ascii="楷体" w:hAnsi="楷体" w:cs="Arial"/>
                                <w:bCs/>
                              </w:rPr>
                              <w:t>20%</w:t>
                            </w:r>
                          </w:p>
                        </w:tc>
                      </w:tr>
                      <w:tr w:rsidR="00C74441" w14:paraId="363DADEE" w14:textId="77777777">
                        <w:trPr>
                          <w:trHeight w:val="247"/>
                        </w:trPr>
                        <w:tc>
                          <w:tcPr>
                            <w:tcW w:w="1419" w:type="dxa"/>
                            <w:shd w:val="clear" w:color="auto" w:fill="FFFFFF"/>
                          </w:tcPr>
                          <w:p w14:paraId="5E6AC3DB" w14:textId="0F9C6F34" w:rsidR="00C74441" w:rsidRDefault="00CE2A3C">
                            <w:pPr>
                              <w:adjustRightInd w:val="0"/>
                              <w:snapToGrid w:val="0"/>
                              <w:spacing w:line="240" w:lineRule="atLeast"/>
                              <w:rPr>
                                <w:rFonts w:ascii="楷体" w:hAnsi="楷体" w:cs="Arial"/>
                                <w:bCs/>
                                <w:color w:val="000000"/>
                              </w:rPr>
                            </w:pPr>
                            <w:r>
                              <w:rPr>
                                <w:rFonts w:ascii="楷体" w:hAnsi="楷体" w:cs="Arial" w:hint="eastAsia"/>
                                <w:bCs/>
                                <w:color w:val="000000"/>
                              </w:rPr>
                              <w:t>持有</w:t>
                            </w:r>
                            <w:r>
                              <w:rPr>
                                <w:rFonts w:ascii="楷体" w:hAnsi="楷体" w:cs="Arial"/>
                                <w:bCs/>
                                <w:color w:val="000000"/>
                              </w:rPr>
                              <w:t xml:space="preserve"> </w:t>
                            </w:r>
                          </w:p>
                        </w:tc>
                        <w:tc>
                          <w:tcPr>
                            <w:tcW w:w="9569" w:type="dxa"/>
                            <w:shd w:val="clear" w:color="auto" w:fill="FFFFFF"/>
                          </w:tcPr>
                          <w:p w14:paraId="40E898E0" w14:textId="2564D108" w:rsidR="00C74441" w:rsidRDefault="00CE2A3C">
                            <w:pPr>
                              <w:adjustRightInd w:val="0"/>
                              <w:snapToGrid w:val="0"/>
                              <w:spacing w:line="240" w:lineRule="atLeast"/>
                              <w:rPr>
                                <w:rFonts w:ascii="楷体" w:hAnsi="楷体" w:cs="Arial"/>
                                <w:bCs/>
                              </w:rPr>
                            </w:pPr>
                            <w:r>
                              <w:rPr>
                                <w:rFonts w:ascii="楷体" w:hAnsi="楷体" w:cs="Arial"/>
                                <w:bCs/>
                              </w:rPr>
                              <w:t xml:space="preserve"> </w:t>
                            </w:r>
                            <w:r>
                              <w:rPr>
                                <w:rFonts w:ascii="楷体" w:hAnsi="楷体" w:cs="Arial" w:hint="eastAsia"/>
                                <w:bCs/>
                              </w:rPr>
                              <w:t>未来</w:t>
                            </w:r>
                            <w:r>
                              <w:rPr>
                                <w:rFonts w:ascii="楷体" w:hAnsi="楷体" w:cs="Arial"/>
                                <w:bCs/>
                              </w:rPr>
                              <w:t>12</w:t>
                            </w:r>
                            <w:r>
                              <w:rPr>
                                <w:rFonts w:ascii="楷体" w:hAnsi="楷体" w:cs="Arial" w:hint="eastAsia"/>
                                <w:bCs/>
                              </w:rPr>
                              <w:t>个月内目标价距离</w:t>
                            </w:r>
                            <w:proofErr w:type="gramStart"/>
                            <w:r>
                              <w:rPr>
                                <w:rFonts w:ascii="楷体" w:hAnsi="楷体" w:cs="Arial" w:hint="eastAsia"/>
                                <w:bCs/>
                              </w:rPr>
                              <w:t>现价涨幅</w:t>
                            </w:r>
                            <w:proofErr w:type="gramEnd"/>
                            <w:r>
                              <w:rPr>
                                <w:rFonts w:ascii="楷体" w:hAnsi="楷体" w:cs="Arial" w:hint="eastAsia"/>
                                <w:bCs/>
                              </w:rPr>
                              <w:t>在正负</w:t>
                            </w:r>
                            <w:r>
                              <w:rPr>
                                <w:rFonts w:ascii="楷体" w:hAnsi="楷体" w:cs="Arial"/>
                                <w:bCs/>
                              </w:rPr>
                              <w:t>20%</w:t>
                            </w:r>
                            <w:r>
                              <w:rPr>
                                <w:rFonts w:ascii="楷体" w:hAnsi="楷体" w:cs="Arial" w:hint="eastAsia"/>
                                <w:bCs/>
                              </w:rPr>
                              <w:t>之间</w:t>
                            </w:r>
                          </w:p>
                        </w:tc>
                      </w:tr>
                      <w:tr w:rsidR="00C74441" w14:paraId="7EDA30AB" w14:textId="77777777">
                        <w:trPr>
                          <w:trHeight w:val="255"/>
                        </w:trPr>
                        <w:tc>
                          <w:tcPr>
                            <w:tcW w:w="1419" w:type="dxa"/>
                            <w:shd w:val="clear" w:color="auto" w:fill="FFFFFF"/>
                          </w:tcPr>
                          <w:p w14:paraId="77465428" w14:textId="199C16B1" w:rsidR="00C74441" w:rsidRDefault="00CE2A3C">
                            <w:pPr>
                              <w:adjustRightInd w:val="0"/>
                              <w:snapToGrid w:val="0"/>
                              <w:spacing w:line="240" w:lineRule="atLeast"/>
                              <w:rPr>
                                <w:rFonts w:ascii="楷体" w:hAnsi="楷体" w:cs="Arial"/>
                                <w:bCs/>
                              </w:rPr>
                            </w:pPr>
                            <w:r>
                              <w:rPr>
                                <w:rFonts w:ascii="楷体" w:hAnsi="楷体" w:cs="Arial" w:hint="eastAsia"/>
                                <w:bCs/>
                              </w:rPr>
                              <w:t>卖出</w:t>
                            </w:r>
                            <w:r>
                              <w:rPr>
                                <w:rFonts w:ascii="楷体" w:hAnsi="楷体" w:cs="Arial"/>
                                <w:bCs/>
                              </w:rPr>
                              <w:t xml:space="preserve">  </w:t>
                            </w:r>
                          </w:p>
                        </w:tc>
                        <w:tc>
                          <w:tcPr>
                            <w:tcW w:w="9569" w:type="dxa"/>
                            <w:shd w:val="clear" w:color="auto" w:fill="FFFFFF"/>
                          </w:tcPr>
                          <w:p w14:paraId="6017746C" w14:textId="43E1036D" w:rsidR="00C74441" w:rsidRDefault="00CE2A3C">
                            <w:pPr>
                              <w:adjustRightInd w:val="0"/>
                              <w:snapToGrid w:val="0"/>
                              <w:spacing w:line="240" w:lineRule="atLeast"/>
                              <w:rPr>
                                <w:rFonts w:ascii="楷体" w:hAnsi="楷体" w:cs="Arial"/>
                                <w:bCs/>
                              </w:rPr>
                            </w:pPr>
                            <w:r>
                              <w:rPr>
                                <w:rFonts w:ascii="楷体" w:hAnsi="楷体" w:cs="Arial"/>
                                <w:bCs/>
                              </w:rPr>
                              <w:t xml:space="preserve"> </w:t>
                            </w:r>
                            <w:r>
                              <w:rPr>
                                <w:rFonts w:ascii="楷体" w:hAnsi="楷体" w:cs="Arial" w:hint="eastAsia"/>
                                <w:bCs/>
                              </w:rPr>
                              <w:t>未来</w:t>
                            </w:r>
                            <w:r>
                              <w:rPr>
                                <w:rFonts w:ascii="楷体" w:hAnsi="楷体" w:cs="Arial"/>
                                <w:bCs/>
                              </w:rPr>
                              <w:t>12</w:t>
                            </w:r>
                            <w:r>
                              <w:rPr>
                                <w:rFonts w:ascii="楷体" w:hAnsi="楷体" w:cs="Arial" w:hint="eastAsia"/>
                                <w:bCs/>
                              </w:rPr>
                              <w:t>个月内目标价距离</w:t>
                            </w:r>
                            <w:proofErr w:type="gramStart"/>
                            <w:r>
                              <w:rPr>
                                <w:rFonts w:ascii="楷体" w:hAnsi="楷体" w:cs="Arial" w:hint="eastAsia"/>
                                <w:bCs/>
                              </w:rPr>
                              <w:t>现价涨幅</w:t>
                            </w:r>
                            <w:proofErr w:type="gramEnd"/>
                            <w:r>
                              <w:rPr>
                                <w:rFonts w:ascii="楷体" w:hAnsi="楷体" w:cs="Arial" w:hint="eastAsia"/>
                                <w:bCs/>
                              </w:rPr>
                              <w:t>不小于</w:t>
                            </w:r>
                            <w:r>
                              <w:rPr>
                                <w:rFonts w:ascii="楷体" w:hAnsi="楷体" w:cs="Arial"/>
                                <w:bCs/>
                              </w:rPr>
                              <w:t>-20%</w:t>
                            </w:r>
                          </w:p>
                        </w:tc>
                      </w:tr>
                      <w:tr w:rsidR="00C74441" w14:paraId="6CA4BE71" w14:textId="77777777">
                        <w:trPr>
                          <w:trHeight w:val="255"/>
                        </w:trPr>
                        <w:tc>
                          <w:tcPr>
                            <w:tcW w:w="1419" w:type="dxa"/>
                            <w:tcBorders>
                              <w:bottom w:val="single" w:sz="12" w:space="0" w:color="auto"/>
                            </w:tcBorders>
                            <w:shd w:val="clear" w:color="auto" w:fill="FFFFFF"/>
                          </w:tcPr>
                          <w:p w14:paraId="1389FD5F" w14:textId="4A7612E2" w:rsidR="00C74441" w:rsidRDefault="00CE2A3C">
                            <w:pPr>
                              <w:adjustRightInd w:val="0"/>
                              <w:snapToGrid w:val="0"/>
                              <w:spacing w:line="240" w:lineRule="atLeast"/>
                              <w:rPr>
                                <w:rFonts w:ascii="楷体" w:hAnsi="楷体" w:cs="Arial"/>
                                <w:bCs/>
                                <w:color w:val="000000"/>
                              </w:rPr>
                            </w:pPr>
                            <w:r>
                              <w:rPr>
                                <w:rFonts w:ascii="楷体" w:hAnsi="楷体" w:cs="Arial" w:hint="eastAsia"/>
                                <w:bCs/>
                                <w:color w:val="000000"/>
                              </w:rPr>
                              <w:t>未评级</w:t>
                            </w:r>
                            <w:r>
                              <w:rPr>
                                <w:rFonts w:ascii="楷体" w:hAnsi="楷体" w:cs="Arial"/>
                                <w:bCs/>
                                <w:color w:val="000000"/>
                              </w:rPr>
                              <w:t xml:space="preserve"> </w:t>
                            </w:r>
                          </w:p>
                        </w:tc>
                        <w:tc>
                          <w:tcPr>
                            <w:tcW w:w="9569" w:type="dxa"/>
                            <w:tcBorders>
                              <w:bottom w:val="single" w:sz="12" w:space="0" w:color="auto"/>
                            </w:tcBorders>
                            <w:shd w:val="clear" w:color="auto" w:fill="FFFFFF"/>
                          </w:tcPr>
                          <w:p w14:paraId="2FC9D2B2" w14:textId="50A42FA4" w:rsidR="00C74441" w:rsidRDefault="00CE2A3C">
                            <w:pPr>
                              <w:adjustRightInd w:val="0"/>
                              <w:snapToGrid w:val="0"/>
                              <w:spacing w:line="240" w:lineRule="atLeast"/>
                              <w:rPr>
                                <w:rFonts w:ascii="楷体" w:hAnsi="楷体" w:cs="Arial"/>
                                <w:bCs/>
                              </w:rPr>
                            </w:pPr>
                            <w:r>
                              <w:rPr>
                                <w:rFonts w:ascii="楷体" w:hAnsi="楷体" w:cs="Arial"/>
                                <w:bCs/>
                              </w:rPr>
                              <w:t xml:space="preserve"> </w:t>
                            </w:r>
                            <w:r>
                              <w:rPr>
                                <w:rFonts w:ascii="楷体" w:hAnsi="楷体" w:cs="Arial" w:hint="eastAsia"/>
                                <w:bCs/>
                              </w:rPr>
                              <w:t>对未来</w:t>
                            </w:r>
                            <w:r>
                              <w:rPr>
                                <w:rFonts w:ascii="楷体" w:hAnsi="楷体" w:cs="Arial"/>
                                <w:bCs/>
                              </w:rPr>
                              <w:t>12</w:t>
                            </w:r>
                            <w:r>
                              <w:rPr>
                                <w:rFonts w:ascii="楷体" w:hAnsi="楷体" w:cs="Arial" w:hint="eastAsia"/>
                                <w:bCs/>
                              </w:rPr>
                              <w:t>个月内目标价不做判断</w:t>
                            </w:r>
                          </w:p>
                        </w:tc>
                      </w:tr>
                      <w:tr w:rsidR="00C74441" w14:paraId="03C87521" w14:textId="77777777">
                        <w:trPr>
                          <w:trHeight w:val="53"/>
                        </w:trPr>
                        <w:tc>
                          <w:tcPr>
                            <w:tcW w:w="1419" w:type="dxa"/>
                            <w:tcBorders>
                              <w:bottom w:val="nil"/>
                            </w:tcBorders>
                            <w:shd w:val="clear" w:color="auto" w:fill="FFFFFF"/>
                          </w:tcPr>
                          <w:p w14:paraId="072AF5B5" w14:textId="77777777" w:rsidR="00C74441" w:rsidRDefault="00C74441">
                            <w:pPr>
                              <w:adjustRightInd w:val="0"/>
                              <w:snapToGrid w:val="0"/>
                              <w:spacing w:line="80" w:lineRule="exact"/>
                              <w:rPr>
                                <w:rFonts w:ascii="楷体" w:hAnsi="楷体" w:cs="Arial"/>
                                <w:b/>
                                <w:color w:val="000000"/>
                                <w:sz w:val="6"/>
                                <w:szCs w:val="10"/>
                              </w:rPr>
                            </w:pPr>
                          </w:p>
                        </w:tc>
                        <w:tc>
                          <w:tcPr>
                            <w:tcW w:w="9569" w:type="dxa"/>
                            <w:tcBorders>
                              <w:bottom w:val="nil"/>
                            </w:tcBorders>
                            <w:shd w:val="clear" w:color="auto" w:fill="FFFFFF"/>
                          </w:tcPr>
                          <w:p w14:paraId="1620CF96" w14:textId="77777777" w:rsidR="00C74441" w:rsidRDefault="00C74441">
                            <w:pPr>
                              <w:adjustRightInd w:val="0"/>
                              <w:snapToGrid w:val="0"/>
                              <w:spacing w:line="80" w:lineRule="exact"/>
                              <w:rPr>
                                <w:rFonts w:ascii="楷体" w:hAnsi="楷体" w:cs="Arial"/>
                                <w:b/>
                                <w:sz w:val="6"/>
                                <w:szCs w:val="10"/>
                              </w:rPr>
                            </w:pPr>
                          </w:p>
                        </w:tc>
                      </w:tr>
                    </w:tbl>
                    <w:p w14:paraId="3C4218FA" w14:textId="77777777" w:rsidR="00C74441" w:rsidRDefault="00C74441" w:rsidP="00C74441">
                      <w:pPr>
                        <w:adjustRightInd w:val="0"/>
                        <w:snapToGrid w:val="0"/>
                        <w:spacing w:line="240" w:lineRule="atLeast"/>
                        <w:jc w:val="left"/>
                        <w:rPr>
                          <w:rFonts w:ascii="楷体" w:hAnsi="楷体" w:cs="Times New Roman"/>
                          <w:b/>
                          <w:color w:val="004098"/>
                        </w:rPr>
                      </w:pPr>
                    </w:p>
                    <w:p w14:paraId="4EC50C2E" w14:textId="215C5991" w:rsidR="00C74441" w:rsidRDefault="00CE2A3C" w:rsidP="00C74441">
                      <w:pPr>
                        <w:adjustRightInd w:val="0"/>
                        <w:snapToGrid w:val="0"/>
                        <w:spacing w:line="240" w:lineRule="atLeast"/>
                        <w:jc w:val="left"/>
                        <w:rPr>
                          <w:rFonts w:ascii="楷体" w:hAnsi="楷体" w:cs="Times New Roman"/>
                          <w:b/>
                          <w:color w:val="004098"/>
                        </w:rPr>
                      </w:pPr>
                      <w:r>
                        <w:rPr>
                          <w:rFonts w:ascii="楷体" w:hAnsi="楷体" w:cs="Times New Roman" w:hint="eastAsia"/>
                          <w:b/>
                          <w:color w:val="004098"/>
                        </w:rPr>
                        <w:t>免责条款</w:t>
                      </w:r>
                    </w:p>
                    <w:p w14:paraId="787126FC" w14:textId="5C8C3965" w:rsidR="00C74441" w:rsidRDefault="00CE2A3C" w:rsidP="00C74441">
                      <w:pPr>
                        <w:rPr>
                          <w:rFonts w:ascii="楷体" w:hAnsi="楷体"/>
                          <w:b/>
                        </w:rPr>
                      </w:pPr>
                      <w:r>
                        <w:rPr>
                          <w:rFonts w:ascii="楷体" w:hAnsi="楷体" w:hint="eastAsia"/>
                          <w:b/>
                        </w:rPr>
                        <w:t>一般声明</w:t>
                      </w:r>
                    </w:p>
                    <w:p w14:paraId="27F18F6E" w14:textId="04C59E99" w:rsidR="00C74441" w:rsidRDefault="00CE2A3C" w:rsidP="00C74441">
                      <w:pPr>
                        <w:ind w:firstLine="420"/>
                        <w:rPr>
                          <w:rFonts w:ascii="楷体" w:hAnsi="楷体"/>
                          <w:szCs w:val="24"/>
                        </w:rPr>
                      </w:pPr>
                      <w:r>
                        <w:rPr>
                          <w:rFonts w:ascii="楷体" w:hAnsi="楷体" w:hint="eastAsia"/>
                          <w:szCs w:val="24"/>
                        </w:rPr>
                        <w:t>本报告由国元证券经纪（香港）有限公司（简称</w:t>
                      </w:r>
                      <w:r>
                        <w:rPr>
                          <w:rFonts w:ascii="楷体" w:hAnsi="楷体"/>
                          <w:szCs w:val="24"/>
                        </w:rPr>
                        <w:t>"</w:t>
                      </w:r>
                      <w:r>
                        <w:rPr>
                          <w:rFonts w:ascii="楷体" w:hAnsi="楷体" w:hint="eastAsia"/>
                          <w:szCs w:val="24"/>
                        </w:rPr>
                        <w:t>国元证券经纪（香港）</w:t>
                      </w:r>
                      <w:r>
                        <w:rPr>
                          <w:rFonts w:ascii="楷体" w:hAnsi="楷体"/>
                          <w:szCs w:val="24"/>
                        </w:rPr>
                        <w:t>"</w:t>
                      </w:r>
                      <w:r>
                        <w:rPr>
                          <w:rFonts w:ascii="楷体" w:hAnsi="楷体" w:hint="eastAsia"/>
                          <w:szCs w:val="24"/>
                        </w:rPr>
                        <w:t>）制作，国元证券经纪（香港）为国元国际控股有限公司的全资子公司。本报告中的信息均来源于我们认为可靠的已公开资料，但国元证券经纪（香港）及其关联机构对这些信息的准确性及完整性不作任何保证。本报告中的信息、意见等均仅供投资者参考之用，不构成对买卖任何证券或其他金融工具的出价</w:t>
                      </w:r>
                      <w:proofErr w:type="gramStart"/>
                      <w:r>
                        <w:rPr>
                          <w:rFonts w:ascii="楷体" w:hAnsi="楷体" w:hint="eastAsia"/>
                          <w:szCs w:val="24"/>
                        </w:rPr>
                        <w:t>或征价</w:t>
                      </w:r>
                      <w:proofErr w:type="gramEnd"/>
                      <w:r>
                        <w:rPr>
                          <w:rFonts w:ascii="楷体" w:hAnsi="楷体" w:hint="eastAsia"/>
                          <w:szCs w:val="24"/>
                        </w:rPr>
                        <w:t>或提供任何投资决策建议的服务。该等信息、意见并未考虑到获取本报告人员的具体投资目的、财务状况以及特定需求，在任何时候均不构成对任何人的个人推荐或投资操作性建议。投资者应当对本报告中的信息和意见进行独立评估，自主审慎做出决策并自行承担风险。投资者在依据本报告涉及的内客进行任何决策前，应同时考虑各自的投资目的、财务状况和特定需求，并就相关决策咨询专业顾问的意见对依据或者使用本报告所造成的一切后果，国元证券经纪（香港）及</w:t>
                      </w:r>
                      <w:r>
                        <w:rPr>
                          <w:rFonts w:ascii="楷体" w:hAnsi="楷体"/>
                          <w:szCs w:val="24"/>
                        </w:rPr>
                        <w:t>/</w:t>
                      </w:r>
                      <w:r>
                        <w:rPr>
                          <w:rFonts w:ascii="楷体" w:hAnsi="楷体" w:hint="eastAsia"/>
                          <w:szCs w:val="24"/>
                        </w:rPr>
                        <w:t>或其关联人员均不承担任何责任。</w:t>
                      </w:r>
                    </w:p>
                    <w:p w14:paraId="7918286E" w14:textId="47A4A4F9" w:rsidR="00C74441" w:rsidRDefault="00CE2A3C" w:rsidP="00C74441">
                      <w:pPr>
                        <w:ind w:firstLine="420"/>
                        <w:rPr>
                          <w:rFonts w:ascii="楷体" w:hAnsi="楷体"/>
                          <w:szCs w:val="24"/>
                        </w:rPr>
                      </w:pPr>
                      <w:r>
                        <w:rPr>
                          <w:rFonts w:ascii="楷体" w:hAnsi="楷体" w:hint="eastAsia"/>
                          <w:szCs w:val="24"/>
                        </w:rPr>
                        <w:t>本报告署名分析师与本报告中提及公司无财务权益关系。本报告所载的意见、评估及预测仅为本报告出具日的观点和判断。该等意见、评估及预测无需通知即可随时更改。在不同时期，国元证券经纪（香港）可能会发出与本报告所载意见、评估及预测不一致的研究报告。</w:t>
                      </w:r>
                    </w:p>
                    <w:p w14:paraId="2ED3EA04" w14:textId="280031E3" w:rsidR="00C74441" w:rsidRDefault="00CE2A3C" w:rsidP="00C74441">
                      <w:pPr>
                        <w:ind w:firstLine="420"/>
                        <w:rPr>
                          <w:rFonts w:ascii="楷体" w:hAnsi="楷体"/>
                          <w:szCs w:val="24"/>
                        </w:rPr>
                      </w:pPr>
                      <w:r>
                        <w:rPr>
                          <w:rFonts w:ascii="楷体" w:hAnsi="楷体" w:hint="eastAsia"/>
                          <w:szCs w:val="24"/>
                        </w:rPr>
                        <w:t>本报告署名分析</w:t>
                      </w:r>
                      <w:proofErr w:type="gramStart"/>
                      <w:r>
                        <w:rPr>
                          <w:rFonts w:ascii="楷体" w:hAnsi="楷体" w:hint="eastAsia"/>
                          <w:szCs w:val="24"/>
                        </w:rPr>
                        <w:t>师可能</w:t>
                      </w:r>
                      <w:proofErr w:type="gramEnd"/>
                      <w:r>
                        <w:rPr>
                          <w:rFonts w:ascii="楷体" w:hAnsi="楷体" w:hint="eastAsia"/>
                          <w:szCs w:val="24"/>
                        </w:rPr>
                        <w:t>会不时与国元证券经纪（香港）的客户、销售交易人员、其他业务人员或在本报告中针对可能对本报告所涉及的标的证券或其他金融工具的市场价格产生短期影响的催化剂或事件进行交易策略的讨论。这种短期影响的分析可能与分析师已发布的关于相关证券或其他金融工具的目标价、评级、估值、预测等观点相反或不一致，相关的交易策略不同于且也不影响分析</w:t>
                      </w:r>
                      <w:proofErr w:type="gramStart"/>
                      <w:r>
                        <w:rPr>
                          <w:rFonts w:ascii="楷体" w:hAnsi="楷体" w:hint="eastAsia"/>
                          <w:szCs w:val="24"/>
                        </w:rPr>
                        <w:t>师关于</w:t>
                      </w:r>
                      <w:proofErr w:type="gramEnd"/>
                      <w:r>
                        <w:rPr>
                          <w:rFonts w:ascii="楷体" w:hAnsi="楷体" w:hint="eastAsia"/>
                          <w:szCs w:val="24"/>
                        </w:rPr>
                        <w:t>其所研究标的证券或其他金融工具的基本面评级或评分。</w:t>
                      </w:r>
                    </w:p>
                    <w:p w14:paraId="12C55E38" w14:textId="05EBBBCD" w:rsidR="00C74441" w:rsidRDefault="00CE2A3C" w:rsidP="00C74441">
                      <w:pPr>
                        <w:ind w:firstLine="420"/>
                        <w:rPr>
                          <w:rFonts w:ascii="楷体" w:hAnsi="楷体"/>
                          <w:szCs w:val="24"/>
                        </w:rPr>
                      </w:pPr>
                      <w:r>
                        <w:rPr>
                          <w:rFonts w:ascii="楷体" w:hAnsi="楷体" w:hint="eastAsia"/>
                          <w:szCs w:val="24"/>
                        </w:rPr>
                        <w:t>国元证券经纪（香港）的销售人员、交易人员以及其他专业人士可能会依据不同假设和标准、采用不同的分析方法而口头或书面发表与本报告意见及建议不一致的市场评论和</w:t>
                      </w:r>
                      <w:r>
                        <w:rPr>
                          <w:rFonts w:ascii="楷体" w:hAnsi="楷体"/>
                          <w:szCs w:val="24"/>
                        </w:rPr>
                        <w:t>/</w:t>
                      </w:r>
                      <w:r>
                        <w:rPr>
                          <w:rFonts w:ascii="楷体" w:hAnsi="楷体" w:hint="eastAsia"/>
                          <w:szCs w:val="24"/>
                        </w:rPr>
                        <w:t>或交易观点。国元证券经纪（香港）没有将此意见及建议向报告所有接收者进行更新的义务。国元国际控股有限公司的资产管理部门、自营部门以及其他投资业务部</w:t>
                      </w:r>
                      <w:proofErr w:type="gramStart"/>
                      <w:r>
                        <w:rPr>
                          <w:rFonts w:ascii="楷体" w:hAnsi="楷体" w:hint="eastAsia"/>
                          <w:szCs w:val="24"/>
                        </w:rPr>
                        <w:t>门可能</w:t>
                      </w:r>
                      <w:proofErr w:type="gramEnd"/>
                      <w:r>
                        <w:rPr>
                          <w:rFonts w:ascii="楷体" w:hAnsi="楷体" w:hint="eastAsia"/>
                          <w:szCs w:val="24"/>
                        </w:rPr>
                        <w:t>独立做出与本报告中的意见不一致的投资决策。</w:t>
                      </w:r>
                    </w:p>
                    <w:p w14:paraId="38BC37C0" w14:textId="1B16ADE5" w:rsidR="00C74441" w:rsidRDefault="00CE2A3C" w:rsidP="00C74441">
                      <w:pPr>
                        <w:ind w:firstLine="420"/>
                        <w:rPr>
                          <w:rFonts w:ascii="楷体" w:hAnsi="楷体"/>
                          <w:szCs w:val="24"/>
                        </w:rPr>
                      </w:pPr>
                      <w:r>
                        <w:rPr>
                          <w:rFonts w:ascii="楷体" w:hAnsi="楷体" w:hint="eastAsia"/>
                          <w:szCs w:val="24"/>
                        </w:rPr>
                        <w:t>除非另行说明，本报告中所引用的关于业绩的数据代表过往表现。过往的业绩表现亦不应作为日后回报的预示。我们不承诺也不保证，任何所预示的回报会得以实现。</w:t>
                      </w:r>
                    </w:p>
                    <w:p w14:paraId="27B39D70" w14:textId="6B839144" w:rsidR="00C74441" w:rsidRDefault="00CE2A3C" w:rsidP="00C74441">
                      <w:pPr>
                        <w:ind w:firstLine="420"/>
                        <w:rPr>
                          <w:rFonts w:ascii="楷体" w:hAnsi="楷体"/>
                          <w:szCs w:val="24"/>
                        </w:rPr>
                      </w:pPr>
                      <w:r>
                        <w:rPr>
                          <w:rFonts w:ascii="楷体" w:hAnsi="楷体" w:hint="eastAsia"/>
                          <w:szCs w:val="24"/>
                        </w:rPr>
                        <w:t>分析中所做的预测可能是基于相应的假设。任何假设的变化可能会显着地影响所预测的回报。</w:t>
                      </w:r>
                    </w:p>
                    <w:p w14:paraId="30AB9F9D" w14:textId="7815AE68" w:rsidR="00C74441" w:rsidRDefault="00CE2A3C" w:rsidP="00C74441">
                      <w:pPr>
                        <w:ind w:firstLine="420"/>
                        <w:rPr>
                          <w:rFonts w:ascii="楷体" w:hAnsi="楷体"/>
                          <w:szCs w:val="24"/>
                        </w:rPr>
                      </w:pPr>
                      <w:r>
                        <w:rPr>
                          <w:rFonts w:ascii="楷体" w:hAnsi="楷体" w:hint="eastAsia"/>
                          <w:szCs w:val="24"/>
                        </w:rPr>
                        <w:t>本报告提供给某接收人是基于该接收人被认为有能力独立评估投资风险并就投资决策能行使独立判断。投资的独立判断是指，投资决策是投资者自身基于对潜在投资的目标、需求、机会、风险、市场因素及其他投资考虑而独立做出的。</w:t>
                      </w:r>
                    </w:p>
                    <w:p w14:paraId="43172047" w14:textId="4E9BBAD0" w:rsidR="00C74441" w:rsidRDefault="00CE2A3C" w:rsidP="00C74441">
                      <w:pPr>
                        <w:rPr>
                          <w:rFonts w:ascii="楷体" w:hAnsi="楷体"/>
                          <w:highlight w:val="yellow"/>
                        </w:rPr>
                      </w:pPr>
                      <w:r>
                        <w:rPr>
                          <w:rFonts w:ascii="楷体" w:hAnsi="楷体" w:hint="eastAsia"/>
                          <w:b/>
                        </w:rPr>
                        <w:t>特别声明</w:t>
                      </w:r>
                    </w:p>
                    <w:p w14:paraId="693E2041" w14:textId="40EA56C5" w:rsidR="00C74441" w:rsidRDefault="00CE2A3C" w:rsidP="00C74441">
                      <w:pPr>
                        <w:spacing w:line="320" w:lineRule="exact"/>
                        <w:ind w:firstLine="420"/>
                        <w:rPr>
                          <w:rFonts w:ascii="楷体" w:hAnsi="楷体"/>
                          <w:caps/>
                          <w:szCs w:val="24"/>
                        </w:rPr>
                      </w:pPr>
                      <w:r>
                        <w:rPr>
                          <w:rFonts w:ascii="楷体" w:hAnsi="楷体" w:hint="eastAsia"/>
                          <w:szCs w:val="24"/>
                        </w:rPr>
                        <w:t>在法律许可的情况下，国元证券经纪（香港）可能与本报告中提及公司正在建立或争取建立业务关系或服务关系。因此，投资者应当考虑到国元证券经纪（香港）及</w:t>
                      </w:r>
                      <w:r>
                        <w:rPr>
                          <w:rFonts w:ascii="楷体" w:hAnsi="楷体"/>
                          <w:szCs w:val="24"/>
                        </w:rPr>
                        <w:t>/</w:t>
                      </w:r>
                      <w:r>
                        <w:rPr>
                          <w:rFonts w:ascii="楷体" w:hAnsi="楷体" w:hint="eastAsia"/>
                          <w:szCs w:val="24"/>
                        </w:rPr>
                        <w:t>或其相关人员可能存在影响本报告观点客观性的潜在利益冲突。</w:t>
                      </w:r>
                    </w:p>
                    <w:p w14:paraId="0F683D00" w14:textId="140B9601" w:rsidR="00C74441" w:rsidRDefault="00CE2A3C" w:rsidP="00C74441">
                      <w:pPr>
                        <w:spacing w:line="320" w:lineRule="exact"/>
                        <w:ind w:firstLine="420"/>
                        <w:rPr>
                          <w:rFonts w:ascii="楷体" w:hAnsi="楷体"/>
                          <w:caps/>
                          <w:szCs w:val="24"/>
                        </w:rPr>
                      </w:pPr>
                      <w:r>
                        <w:rPr>
                          <w:rFonts w:ascii="楷体" w:hAnsi="楷体" w:hint="eastAsia"/>
                          <w:szCs w:val="24"/>
                        </w:rPr>
                        <w:t>本报告的版权仅为国元证券经纪（香港）</w:t>
                      </w:r>
                      <w:r>
                        <w:rPr>
                          <w:rFonts w:ascii="楷体" w:hAnsi="楷体" w:hint="eastAsia"/>
                          <w:caps/>
                          <w:szCs w:val="24"/>
                        </w:rPr>
                        <w:t>所有，未经书面许可任何机构和个人不得以任何形式转发、翻版。复制、刊登、发表或引用。</w:t>
                      </w:r>
                    </w:p>
                    <w:p w14:paraId="2CF8E53E" w14:textId="0F9EF9D8" w:rsidR="00C74441" w:rsidRDefault="00CE2A3C" w:rsidP="00C74441">
                      <w:pPr>
                        <w:rPr>
                          <w:rFonts w:ascii="楷体" w:hAnsi="楷体"/>
                          <w:b/>
                        </w:rPr>
                      </w:pPr>
                      <w:r>
                        <w:rPr>
                          <w:rFonts w:ascii="楷体" w:hAnsi="楷体" w:hint="eastAsia"/>
                          <w:b/>
                        </w:rPr>
                        <w:t>分析员声明</w:t>
                      </w:r>
                    </w:p>
                    <w:p w14:paraId="637F56DC" w14:textId="6A690E7E" w:rsidR="00C74441" w:rsidRDefault="00CE2A3C" w:rsidP="00C74441">
                      <w:pPr>
                        <w:spacing w:line="320" w:lineRule="exact"/>
                        <w:ind w:firstLine="420"/>
                        <w:rPr>
                          <w:rFonts w:ascii="楷体" w:hAnsi="楷体"/>
                          <w:caps/>
                          <w:szCs w:val="24"/>
                        </w:rPr>
                      </w:pPr>
                      <w:r>
                        <w:rPr>
                          <w:rFonts w:ascii="楷体" w:hAnsi="楷体" w:hint="eastAsia"/>
                          <w:szCs w:val="24"/>
                        </w:rPr>
                        <w:t>本人具备香港证监会授予的第四类牌照——就证券提供意见。本人以勤勉的职业态度，独立、客观地出具本报告。本报告清晰准确地反映了本人的研究观点。本人不曾因，不因，也将不会因本报告中的具体推荐意见或观点而直接或间接收到任何形式的补偿。</w:t>
                      </w:r>
                    </w:p>
                    <w:p w14:paraId="27341FDF" w14:textId="72346787" w:rsidR="00C74441" w:rsidRDefault="00CE2A3C" w:rsidP="00C74441">
                      <w:pPr>
                        <w:spacing w:line="240" w:lineRule="exact"/>
                        <w:ind w:firstLine="420"/>
                        <w:jc w:val="right"/>
                        <w:rPr>
                          <w:rFonts w:ascii="楷体" w:hAnsi="楷体" w:cs="Times New Roman"/>
                          <w:b/>
                          <w:color w:val="004098"/>
                          <w:sz w:val="16"/>
                          <w:szCs w:val="18"/>
                        </w:rPr>
                      </w:pPr>
                      <w:r>
                        <w:rPr>
                          <w:rFonts w:ascii="楷体" w:hAnsi="楷体" w:cs="Times New Roman" w:hint="eastAsia"/>
                          <w:b/>
                          <w:color w:val="004098"/>
                          <w:sz w:val="16"/>
                          <w:szCs w:val="18"/>
                        </w:rPr>
                        <w:t>国</w:t>
                      </w:r>
                      <w:r>
                        <w:rPr>
                          <w:rFonts w:ascii="楷体" w:hAnsi="楷体" w:cs="Times New Roman"/>
                          <w:b/>
                          <w:color w:val="004098"/>
                          <w:sz w:val="16"/>
                          <w:szCs w:val="18"/>
                        </w:rPr>
                        <w:t xml:space="preserve"> </w:t>
                      </w:r>
                      <w:r>
                        <w:rPr>
                          <w:rFonts w:ascii="楷体" w:hAnsi="楷体" w:cs="Times New Roman" w:hint="eastAsia"/>
                          <w:b/>
                          <w:color w:val="004098"/>
                          <w:sz w:val="16"/>
                          <w:szCs w:val="18"/>
                        </w:rPr>
                        <w:t>元</w:t>
                      </w:r>
                      <w:r>
                        <w:rPr>
                          <w:rFonts w:ascii="楷体" w:hAnsi="楷体" w:cs="Times New Roman"/>
                          <w:b/>
                          <w:color w:val="004098"/>
                          <w:sz w:val="16"/>
                          <w:szCs w:val="18"/>
                        </w:rPr>
                        <w:t xml:space="preserve"> </w:t>
                      </w:r>
                      <w:r>
                        <w:rPr>
                          <w:rFonts w:ascii="楷体" w:hAnsi="楷体" w:cs="Times New Roman" w:hint="eastAsia"/>
                          <w:b/>
                          <w:color w:val="004098"/>
                          <w:sz w:val="16"/>
                          <w:szCs w:val="18"/>
                        </w:rPr>
                        <w:t>国</w:t>
                      </w:r>
                      <w:r>
                        <w:rPr>
                          <w:rFonts w:ascii="楷体" w:hAnsi="楷体" w:cs="Times New Roman"/>
                          <w:b/>
                          <w:color w:val="004098"/>
                          <w:sz w:val="16"/>
                          <w:szCs w:val="18"/>
                        </w:rPr>
                        <w:t xml:space="preserve"> </w:t>
                      </w:r>
                      <w:r>
                        <w:rPr>
                          <w:rFonts w:ascii="楷体" w:hAnsi="楷体" w:cs="Times New Roman" w:hint="eastAsia"/>
                          <w:b/>
                          <w:color w:val="004098"/>
                          <w:sz w:val="16"/>
                          <w:szCs w:val="18"/>
                        </w:rPr>
                        <w:t>际</w:t>
                      </w:r>
                      <w:r>
                        <w:rPr>
                          <w:rFonts w:ascii="楷体" w:hAnsi="楷体" w:cs="Times New Roman"/>
                          <w:b/>
                          <w:color w:val="004098"/>
                          <w:sz w:val="16"/>
                          <w:szCs w:val="18"/>
                        </w:rPr>
                        <w:t xml:space="preserve"> </w:t>
                      </w:r>
                      <w:r>
                        <w:rPr>
                          <w:rFonts w:ascii="楷体" w:hAnsi="楷体" w:cs="Times New Roman" w:hint="eastAsia"/>
                          <w:b/>
                          <w:color w:val="004098"/>
                          <w:sz w:val="16"/>
                          <w:szCs w:val="18"/>
                        </w:rPr>
                        <w:t>控</w:t>
                      </w:r>
                      <w:r>
                        <w:rPr>
                          <w:rFonts w:ascii="楷体" w:hAnsi="楷体" w:cs="Times New Roman"/>
                          <w:b/>
                          <w:color w:val="004098"/>
                          <w:sz w:val="16"/>
                          <w:szCs w:val="18"/>
                        </w:rPr>
                        <w:t xml:space="preserve"> </w:t>
                      </w:r>
                      <w:r>
                        <w:rPr>
                          <w:rFonts w:ascii="楷体" w:hAnsi="楷体" w:cs="Times New Roman" w:hint="eastAsia"/>
                          <w:b/>
                          <w:color w:val="004098"/>
                          <w:sz w:val="16"/>
                          <w:szCs w:val="18"/>
                        </w:rPr>
                        <w:t>股</w:t>
                      </w:r>
                      <w:r>
                        <w:rPr>
                          <w:rFonts w:ascii="楷体" w:hAnsi="楷体" w:cs="Times New Roman"/>
                          <w:b/>
                          <w:color w:val="004098"/>
                          <w:sz w:val="16"/>
                          <w:szCs w:val="18"/>
                        </w:rPr>
                        <w:t xml:space="preserve"> </w:t>
                      </w:r>
                      <w:r>
                        <w:rPr>
                          <w:rFonts w:ascii="楷体" w:hAnsi="楷体" w:cs="Times New Roman" w:hint="eastAsia"/>
                          <w:b/>
                          <w:color w:val="004098"/>
                          <w:sz w:val="16"/>
                          <w:szCs w:val="18"/>
                        </w:rPr>
                        <w:t>有</w:t>
                      </w:r>
                      <w:r>
                        <w:rPr>
                          <w:rFonts w:ascii="楷体" w:hAnsi="楷体" w:cs="Times New Roman"/>
                          <w:b/>
                          <w:color w:val="004098"/>
                          <w:sz w:val="16"/>
                          <w:szCs w:val="18"/>
                        </w:rPr>
                        <w:t xml:space="preserve"> </w:t>
                      </w:r>
                      <w:r>
                        <w:rPr>
                          <w:rFonts w:ascii="楷体" w:hAnsi="楷体" w:cs="Times New Roman" w:hint="eastAsia"/>
                          <w:b/>
                          <w:color w:val="004098"/>
                          <w:sz w:val="16"/>
                          <w:szCs w:val="18"/>
                        </w:rPr>
                        <w:t>限</w:t>
                      </w:r>
                      <w:r>
                        <w:rPr>
                          <w:rFonts w:ascii="楷体" w:hAnsi="楷体" w:cs="Times New Roman"/>
                          <w:b/>
                          <w:color w:val="004098"/>
                          <w:sz w:val="16"/>
                          <w:szCs w:val="18"/>
                        </w:rPr>
                        <w:t xml:space="preserve"> </w:t>
                      </w:r>
                      <w:r>
                        <w:rPr>
                          <w:rFonts w:ascii="楷体" w:hAnsi="楷体" w:cs="Times New Roman" w:hint="eastAsia"/>
                          <w:b/>
                          <w:color w:val="004098"/>
                          <w:sz w:val="16"/>
                          <w:szCs w:val="18"/>
                        </w:rPr>
                        <w:t>公</w:t>
                      </w:r>
                      <w:r>
                        <w:rPr>
                          <w:rFonts w:ascii="楷体" w:hAnsi="楷体" w:cs="Times New Roman"/>
                          <w:b/>
                          <w:color w:val="004098"/>
                          <w:sz w:val="16"/>
                          <w:szCs w:val="18"/>
                        </w:rPr>
                        <w:t xml:space="preserve"> </w:t>
                      </w:r>
                      <w:r>
                        <w:rPr>
                          <w:rFonts w:ascii="楷体" w:hAnsi="楷体" w:cs="Times New Roman" w:hint="eastAsia"/>
                          <w:b/>
                          <w:color w:val="004098"/>
                          <w:sz w:val="16"/>
                          <w:szCs w:val="18"/>
                        </w:rPr>
                        <w:t>司</w:t>
                      </w:r>
                    </w:p>
                    <w:p w14:paraId="15B781B6" w14:textId="4DD634B5" w:rsidR="00C74441" w:rsidRDefault="00CE2A3C" w:rsidP="00C74441">
                      <w:pPr>
                        <w:adjustRightInd w:val="0"/>
                        <w:snapToGrid w:val="0"/>
                        <w:spacing w:line="240" w:lineRule="exact"/>
                        <w:jc w:val="right"/>
                        <w:rPr>
                          <w:rFonts w:ascii="楷体" w:hAnsi="楷体" w:cs="Times New Roman"/>
                          <w:b/>
                          <w:color w:val="004098"/>
                          <w:sz w:val="16"/>
                          <w:szCs w:val="18"/>
                        </w:rPr>
                      </w:pPr>
                      <w:r>
                        <w:rPr>
                          <w:rFonts w:ascii="楷体" w:hAnsi="楷体" w:cs="Times New Roman" w:hint="eastAsia"/>
                          <w:b/>
                          <w:color w:val="004098"/>
                          <w:sz w:val="16"/>
                          <w:szCs w:val="18"/>
                        </w:rPr>
                        <w:t>香港中环康乐广场</w:t>
                      </w:r>
                      <w:r>
                        <w:rPr>
                          <w:rFonts w:ascii="楷体" w:hAnsi="楷体" w:cs="Times New Roman"/>
                          <w:b/>
                          <w:color w:val="004098"/>
                          <w:sz w:val="16"/>
                          <w:szCs w:val="18"/>
                        </w:rPr>
                        <w:t>8</w:t>
                      </w:r>
                      <w:r>
                        <w:rPr>
                          <w:rFonts w:ascii="楷体" w:hAnsi="楷体" w:cs="Times New Roman" w:hint="eastAsia"/>
                          <w:b/>
                          <w:color w:val="004098"/>
                          <w:sz w:val="16"/>
                          <w:szCs w:val="18"/>
                        </w:rPr>
                        <w:t>号交易广场三期</w:t>
                      </w:r>
                      <w:r>
                        <w:rPr>
                          <w:rFonts w:ascii="楷体" w:hAnsi="楷体" w:cs="Times New Roman"/>
                          <w:b/>
                          <w:color w:val="004098"/>
                          <w:sz w:val="16"/>
                          <w:szCs w:val="18"/>
                        </w:rPr>
                        <w:t>17</w:t>
                      </w:r>
                      <w:r>
                        <w:rPr>
                          <w:rFonts w:ascii="楷体" w:hAnsi="楷体" w:cs="Times New Roman" w:hint="eastAsia"/>
                          <w:b/>
                          <w:color w:val="004098"/>
                          <w:sz w:val="16"/>
                          <w:szCs w:val="18"/>
                        </w:rPr>
                        <w:t>楼</w:t>
                      </w:r>
                    </w:p>
                    <w:p w14:paraId="3BF7D279" w14:textId="2173CD93" w:rsidR="00C74441" w:rsidRDefault="00CE2A3C" w:rsidP="00C74441">
                      <w:pPr>
                        <w:adjustRightInd w:val="0"/>
                        <w:snapToGrid w:val="0"/>
                        <w:spacing w:line="240" w:lineRule="exact"/>
                        <w:jc w:val="right"/>
                        <w:rPr>
                          <w:rFonts w:ascii="楷体" w:hAnsi="楷体" w:cs="Times New Roman"/>
                          <w:b/>
                          <w:color w:val="004098"/>
                          <w:sz w:val="16"/>
                          <w:szCs w:val="18"/>
                        </w:rPr>
                      </w:pPr>
                      <w:r>
                        <w:rPr>
                          <w:rFonts w:ascii="楷体" w:hAnsi="楷体" w:cs="Times New Roman" w:hint="eastAsia"/>
                          <w:b/>
                          <w:color w:val="004098"/>
                          <w:sz w:val="16"/>
                          <w:szCs w:val="18"/>
                        </w:rPr>
                        <w:t>电</w:t>
                      </w:r>
                      <w:r>
                        <w:rPr>
                          <w:rFonts w:ascii="楷体" w:hAnsi="楷体" w:cs="Times New Roman"/>
                          <w:b/>
                          <w:color w:val="004098"/>
                          <w:sz w:val="16"/>
                          <w:szCs w:val="18"/>
                        </w:rPr>
                        <w:t xml:space="preserve">       </w:t>
                      </w:r>
                      <w:r>
                        <w:rPr>
                          <w:rFonts w:ascii="楷体" w:hAnsi="楷体" w:cs="Times New Roman" w:hint="eastAsia"/>
                          <w:b/>
                          <w:color w:val="004098"/>
                          <w:sz w:val="16"/>
                          <w:szCs w:val="18"/>
                        </w:rPr>
                        <w:t>话：</w:t>
                      </w:r>
                      <w:r>
                        <w:rPr>
                          <w:rFonts w:ascii="楷体" w:hAnsi="楷体" w:cs="Times New Roman"/>
                          <w:b/>
                          <w:color w:val="004098"/>
                          <w:sz w:val="16"/>
                          <w:szCs w:val="18"/>
                        </w:rPr>
                        <w:t>(852) 3769 6888</w:t>
                      </w:r>
                    </w:p>
                    <w:p w14:paraId="2D523E01" w14:textId="06C4EEAD" w:rsidR="00C74441" w:rsidRDefault="00CE2A3C" w:rsidP="00C74441">
                      <w:pPr>
                        <w:adjustRightInd w:val="0"/>
                        <w:snapToGrid w:val="0"/>
                        <w:spacing w:line="240" w:lineRule="exact"/>
                        <w:jc w:val="right"/>
                        <w:rPr>
                          <w:rFonts w:ascii="楷体" w:hAnsi="楷体" w:cs="Times New Roman"/>
                          <w:b/>
                          <w:color w:val="004098"/>
                          <w:sz w:val="16"/>
                          <w:szCs w:val="18"/>
                        </w:rPr>
                      </w:pPr>
                      <w:r>
                        <w:rPr>
                          <w:rFonts w:ascii="楷体" w:hAnsi="楷体" w:cs="Times New Roman" w:hint="eastAsia"/>
                          <w:b/>
                          <w:color w:val="004098"/>
                          <w:sz w:val="16"/>
                          <w:szCs w:val="18"/>
                        </w:rPr>
                        <w:t>传</w:t>
                      </w:r>
                      <w:r>
                        <w:rPr>
                          <w:rFonts w:ascii="楷体" w:hAnsi="楷体" w:cs="Times New Roman"/>
                          <w:b/>
                          <w:color w:val="004098"/>
                          <w:sz w:val="16"/>
                          <w:szCs w:val="18"/>
                        </w:rPr>
                        <w:t xml:space="preserve">       </w:t>
                      </w:r>
                      <w:r>
                        <w:rPr>
                          <w:rFonts w:ascii="楷体" w:hAnsi="楷体" w:cs="Times New Roman" w:hint="eastAsia"/>
                          <w:b/>
                          <w:color w:val="004098"/>
                          <w:sz w:val="16"/>
                          <w:szCs w:val="18"/>
                        </w:rPr>
                        <w:t>真：</w:t>
                      </w:r>
                      <w:r>
                        <w:rPr>
                          <w:rFonts w:ascii="楷体" w:hAnsi="楷体" w:cs="Times New Roman"/>
                          <w:b/>
                          <w:color w:val="004098"/>
                          <w:sz w:val="16"/>
                          <w:szCs w:val="18"/>
                        </w:rPr>
                        <w:t>(852) 3769 6999</w:t>
                      </w:r>
                    </w:p>
                    <w:p w14:paraId="4721823B" w14:textId="2C2B268B" w:rsidR="00C74441" w:rsidRDefault="00CE2A3C" w:rsidP="00C74441">
                      <w:pPr>
                        <w:adjustRightInd w:val="0"/>
                        <w:snapToGrid w:val="0"/>
                        <w:spacing w:line="240" w:lineRule="exact"/>
                        <w:jc w:val="right"/>
                        <w:rPr>
                          <w:rFonts w:ascii="楷体" w:hAnsi="楷体" w:cs="Times New Roman"/>
                          <w:b/>
                          <w:color w:val="004098"/>
                          <w:sz w:val="16"/>
                          <w:szCs w:val="18"/>
                        </w:rPr>
                      </w:pPr>
                      <w:r>
                        <w:rPr>
                          <w:rFonts w:ascii="楷体" w:hAnsi="楷体" w:cs="Times New Roman" w:hint="eastAsia"/>
                          <w:b/>
                          <w:color w:val="004098"/>
                          <w:sz w:val="16"/>
                          <w:szCs w:val="18"/>
                        </w:rPr>
                        <w:t>服务热线：</w:t>
                      </w:r>
                      <w:r>
                        <w:rPr>
                          <w:rFonts w:ascii="楷体" w:hAnsi="楷体" w:cs="Times New Roman"/>
                          <w:b/>
                          <w:color w:val="004098"/>
                          <w:sz w:val="16"/>
                          <w:szCs w:val="18"/>
                        </w:rPr>
                        <w:t>400-888-1313</w:t>
                      </w:r>
                    </w:p>
                    <w:p w14:paraId="6B8DF16A" w14:textId="718100B5" w:rsidR="00C74441" w:rsidRDefault="00CE2A3C" w:rsidP="00C74441">
                      <w:pPr>
                        <w:spacing w:line="240" w:lineRule="exact"/>
                        <w:ind w:firstLineChars="1500" w:firstLine="2409"/>
                        <w:jc w:val="right"/>
                        <w:rPr>
                          <w:rFonts w:ascii="楷体" w:hAnsi="楷体" w:cs="Times New Roman"/>
                          <w:b/>
                          <w:color w:val="004098"/>
                          <w:sz w:val="20"/>
                        </w:rPr>
                      </w:pPr>
                      <w:r>
                        <w:rPr>
                          <w:rFonts w:ascii="楷体" w:hAnsi="楷体" w:cs="Times New Roman" w:hint="eastAsia"/>
                          <w:b/>
                          <w:color w:val="004098"/>
                          <w:sz w:val="16"/>
                          <w:szCs w:val="18"/>
                        </w:rPr>
                        <w:t>公司网址：</w:t>
                      </w:r>
                      <w:r>
                        <w:rPr>
                          <w:rFonts w:ascii="楷体" w:hAnsi="楷体" w:cs="Times New Roman"/>
                          <w:b/>
                          <w:color w:val="004098"/>
                          <w:sz w:val="16"/>
                          <w:szCs w:val="18"/>
                        </w:rPr>
                        <w:t>http://www.gyzq.com.h</w:t>
                      </w:r>
                      <w:r>
                        <w:rPr>
                          <w:rFonts w:ascii="楷体" w:hAnsi="楷体" w:cs="Times New Roman"/>
                          <w:b/>
                          <w:color w:val="004098"/>
                          <w:sz w:val="20"/>
                        </w:rPr>
                        <w:t>k</w:t>
                      </w:r>
                    </w:p>
                  </w:txbxContent>
                </v:textbox>
                <w10:wrap anchorx="margin" anchory="page"/>
              </v:shape>
            </w:pict>
          </mc:Fallback>
        </mc:AlternateContent>
      </w:r>
      <w:r w:rsidR="00C74441">
        <w:rPr>
          <w:rFonts w:ascii="楷体" w:hAnsi="楷体"/>
          <w:b/>
          <w:noProof/>
          <w:color w:val="000080"/>
          <w:sz w:val="32"/>
          <w:szCs w:val="32"/>
        </w:rPr>
        <mc:AlternateContent>
          <mc:Choice Requires="wps">
            <w:drawing>
              <wp:anchor distT="0" distB="0" distL="114300" distR="114300" simplePos="0" relativeHeight="306140160" behindDoc="1" locked="0" layoutInCell="1" allowOverlap="1" wp14:anchorId="3BF52BE9" wp14:editId="47A26150">
                <wp:simplePos x="0" y="0"/>
                <wp:positionH relativeFrom="margin">
                  <wp:posOffset>-247650</wp:posOffset>
                </wp:positionH>
                <wp:positionV relativeFrom="margin">
                  <wp:posOffset>-816610</wp:posOffset>
                </wp:positionV>
                <wp:extent cx="7221600" cy="1972800"/>
                <wp:effectExtent l="0" t="0" r="0" b="8890"/>
                <wp:wrapNone/>
                <wp:docPr id="15" name="文本框 15"/>
                <wp:cNvGraphicFramePr/>
                <a:graphic xmlns:a="http://schemas.openxmlformats.org/drawingml/2006/main">
                  <a:graphicData uri="http://schemas.microsoft.com/office/word/2010/wordprocessingShape">
                    <wps:wsp>
                      <wps:cNvSpPr txBox="1"/>
                      <wps:spPr>
                        <a:xfrm>
                          <a:off x="0" y="0"/>
                          <a:ext cx="7221600" cy="197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CDFDE" w14:textId="77777777" w:rsidR="00C74441" w:rsidRDefault="00C74441" w:rsidP="00C74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2BE9" id="文本框 15" o:spid="_x0000_s1028" type="#_x0000_t202" style="position:absolute;left:0;text-align:left;margin-left:-19.5pt;margin-top:-64.3pt;width:568.65pt;height:155.35pt;z-index:-197176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" fillcolor="white [3201]" stroked="f" strokeweight=".5pt">
                <v:textbox>
                  <w:txbxContent>
                    <w:p w14:paraId="48BCDFDE" w14:textId="77777777" w:rsidR="00C74441" w:rsidRDefault="00C74441" w:rsidP="00C74441"/>
                  </w:txbxContent>
                </v:textbox>
                <w10:wrap anchorx="margin" anchory="margin"/>
              </v:shape>
            </w:pict>
          </mc:Fallback>
        </mc:AlternateContent>
      </w:r>
    </w:p>
    <w:p w14:paraId="07A5D09E" w14:textId="77777777" w:rsidR="00653D8F" w:rsidRDefault="00653D8F">
      <w:pPr>
        <w:rPr>
          <w:rFonts w:ascii="楷体" w:hAnsi="楷体"/>
          <w:b/>
          <w:iCs/>
          <w:color w:val="004098"/>
          <w:sz w:val="32"/>
          <w:szCs w:val="36"/>
        </w:rPr>
      </w:pPr>
    </w:p>
    <w:p w14:paraId="7F410075" w14:textId="77777777" w:rsidR="00653D8F" w:rsidRDefault="00653D8F"/>
    <w:sectPr w:rsidR="00653D8F">
      <w:headerReference w:type="default" r:id="rId13"/>
      <w:footerReference w:type="default" r:id="rId14"/>
      <w:headerReference w:type="first" r:id="rId15"/>
      <w:footerReference w:type="first" r:id="rId16"/>
      <w:pgSz w:w="11906" w:h="16838"/>
      <w:pgMar w:top="1440" w:right="707" w:bottom="1440" w:left="108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E610" w14:textId="77777777" w:rsidR="005D257B" w:rsidRDefault="005D257B">
      <w:r>
        <w:separator/>
      </w:r>
    </w:p>
  </w:endnote>
  <w:endnote w:type="continuationSeparator" w:id="0">
    <w:p w14:paraId="6697346D" w14:textId="77777777" w:rsidR="005D257B" w:rsidRDefault="005D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汉仪中黑简">
    <w:altName w:val="宋体"/>
    <w:charset w:val="86"/>
    <w:family w:val="modern"/>
    <w:pitch w:val="default"/>
    <w:sig w:usb0="00000000" w:usb1="00000000" w:usb2="00000012" w:usb3="00000000" w:csb0="00040000"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4D7F" w14:textId="77777777" w:rsidR="00BC6CCE" w:rsidRDefault="00BA0DC0">
    <w:pPr>
      <w:pStyle w:val="a6"/>
    </w:pPr>
    <w:r>
      <w:rPr>
        <w:noProof/>
      </w:rPr>
      <mc:AlternateContent>
        <mc:Choice Requires="wps">
          <w:drawing>
            <wp:anchor distT="0" distB="0" distL="114300" distR="114300" simplePos="0" relativeHeight="251659264" behindDoc="0" locked="0" layoutInCell="1" allowOverlap="1" wp14:anchorId="264DF4DA" wp14:editId="17B7218B">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66705" w14:textId="2404476F" w:rsidR="00BC6CCE" w:rsidRDefault="00BA0DC0">
                          <w:pPr>
                            <w:pStyle w:val="a6"/>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CE2A3C">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4DF4DA" id="_x0000_t202" coordsize="21600,21600" o:spt="202" path="m,l,21600r21600,l21600,xe">
              <v:stroke joinstyle="miter"/>
              <v:path gradientshapeok="t" o:connecttype="rect"/>
            </v:shapetype>
            <v:shape id="文本框 14"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3E66705" w14:textId="2404476F" w:rsidR="00BC6CCE" w:rsidRDefault="00BA0DC0">
                    <w:pPr>
                      <w:pStyle w:val="a6"/>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CE2A3C">
                      <w:rPr>
                        <w:noProof/>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666B" w14:textId="77777777" w:rsidR="00BC6CCE" w:rsidRDefault="00BA0DC0">
    <w:pPr>
      <w:pStyle w:val="a6"/>
    </w:pPr>
    <w:r>
      <w:rPr>
        <w:noProof/>
      </w:rPr>
      <mc:AlternateContent>
        <mc:Choice Requires="wps">
          <w:drawing>
            <wp:anchor distT="45720" distB="45720" distL="114300" distR="114300" simplePos="0" relativeHeight="251669504" behindDoc="0" locked="0" layoutInCell="1" allowOverlap="1" wp14:anchorId="7500C5D5" wp14:editId="39B2674D">
              <wp:simplePos x="0" y="0"/>
              <wp:positionH relativeFrom="column">
                <wp:posOffset>-733425</wp:posOffset>
              </wp:positionH>
              <wp:positionV relativeFrom="paragraph">
                <wp:posOffset>-2063115</wp:posOffset>
              </wp:positionV>
              <wp:extent cx="357505" cy="1907540"/>
              <wp:effectExtent l="0" t="0" r="0" b="0"/>
              <wp:wrapNone/>
              <wp:docPr id="2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907540"/>
                      </a:xfrm>
                      <a:prstGeom prst="rect">
                        <a:avLst/>
                      </a:prstGeom>
                      <a:noFill/>
                      <a:ln w="9525">
                        <a:noFill/>
                        <a:miter lim="800000"/>
                      </a:ln>
                    </wps:spPr>
                    <wps:txbx>
                      <w:txbxContent>
                        <w:p w14:paraId="223342AE" w14:textId="21CFC6DF" w:rsidR="00BC6CCE" w:rsidRDefault="00CE2A3C">
                          <w:pPr>
                            <w:rPr>
                              <w:b/>
                              <w:bCs/>
                              <w:color w:val="FFFFFF" w:themeColor="background1"/>
                              <w:sz w:val="32"/>
                              <w:szCs w:val="36"/>
                            </w:rPr>
                          </w:pPr>
                          <w:r>
                            <w:rPr>
                              <w:rFonts w:hint="eastAsia"/>
                              <w:b/>
                              <w:bCs/>
                              <w:color w:val="FFFFFF" w:themeColor="background1"/>
                              <w:sz w:val="32"/>
                              <w:szCs w:val="36"/>
                            </w:rPr>
                            <w:t>证</w:t>
                          </w:r>
                        </w:p>
                        <w:p w14:paraId="2391DC90" w14:textId="7E996999" w:rsidR="00BC6CCE" w:rsidRDefault="00CE2A3C">
                          <w:pPr>
                            <w:rPr>
                              <w:b/>
                              <w:bCs/>
                              <w:color w:val="FFFFFF" w:themeColor="background1"/>
                              <w:sz w:val="32"/>
                              <w:szCs w:val="36"/>
                            </w:rPr>
                          </w:pPr>
                          <w:proofErr w:type="gramStart"/>
                          <w:r>
                            <w:rPr>
                              <w:rFonts w:hint="eastAsia"/>
                              <w:b/>
                              <w:bCs/>
                              <w:color w:val="FFFFFF" w:themeColor="background1"/>
                              <w:sz w:val="32"/>
                              <w:szCs w:val="36"/>
                            </w:rPr>
                            <w:t>券</w:t>
                          </w:r>
                          <w:proofErr w:type="gramEnd"/>
                        </w:p>
                        <w:p w14:paraId="2DC74180" w14:textId="4905E14E" w:rsidR="00BC6CCE" w:rsidRDefault="00CE2A3C">
                          <w:pPr>
                            <w:rPr>
                              <w:b/>
                              <w:bCs/>
                              <w:color w:val="FFFFFF" w:themeColor="background1"/>
                              <w:sz w:val="32"/>
                              <w:szCs w:val="36"/>
                            </w:rPr>
                          </w:pPr>
                          <w:r>
                            <w:rPr>
                              <w:rFonts w:hint="eastAsia"/>
                              <w:b/>
                              <w:bCs/>
                              <w:color w:val="FFFFFF" w:themeColor="background1"/>
                              <w:sz w:val="32"/>
                              <w:szCs w:val="36"/>
                            </w:rPr>
                            <w:t>研究报告</w:t>
                          </w:r>
                        </w:p>
                      </w:txbxContent>
                    </wps:txbx>
                    <wps:bodyPr rot="0" vert="horz" wrap="square" lIns="91440" tIns="45720" rIns="91440" bIns="45720" anchor="t" anchorCtr="0">
                      <a:noAutofit/>
                    </wps:bodyPr>
                  </wps:wsp>
                </a:graphicData>
              </a:graphic>
            </wp:anchor>
          </w:drawing>
        </mc:Choice>
        <mc:Fallback>
          <w:pict>
            <v:shapetype w14:anchorId="7500C5D5" id="_x0000_t202" coordsize="21600,21600" o:spt="202" path="m,l,21600r21600,l21600,xe">
              <v:stroke joinstyle="miter"/>
              <v:path gradientshapeok="t" o:connecttype="rect"/>
            </v:shapetype>
            <v:shape id="_x0000_s1032" type="#_x0000_t202" style="position:absolute;margin-left:-57.75pt;margin-top:-162.45pt;width:28.15pt;height:150.2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" filled="f" stroked="f">
              <v:textbox>
                <w:txbxContent>
                  <w:p w14:paraId="223342AE" w14:textId="21CFC6DF" w:rsidR="00BC6CCE" w:rsidRDefault="00CE2A3C">
                    <w:pPr>
                      <w:rPr>
                        <w:b/>
                        <w:bCs/>
                        <w:color w:val="FFFFFF" w:themeColor="background1"/>
                        <w:sz w:val="32"/>
                        <w:szCs w:val="36"/>
                      </w:rPr>
                    </w:pPr>
                    <w:r>
                      <w:rPr>
                        <w:rFonts w:hint="eastAsia"/>
                        <w:b/>
                        <w:bCs/>
                        <w:color w:val="FFFFFF" w:themeColor="background1"/>
                        <w:sz w:val="32"/>
                        <w:szCs w:val="36"/>
                      </w:rPr>
                      <w:t>证</w:t>
                    </w:r>
                  </w:p>
                  <w:p w14:paraId="2391DC90" w14:textId="7E996999" w:rsidR="00BC6CCE" w:rsidRDefault="00CE2A3C">
                    <w:pPr>
                      <w:rPr>
                        <w:b/>
                        <w:bCs/>
                        <w:color w:val="FFFFFF" w:themeColor="background1"/>
                        <w:sz w:val="32"/>
                        <w:szCs w:val="36"/>
                      </w:rPr>
                    </w:pPr>
                    <w:proofErr w:type="gramStart"/>
                    <w:r>
                      <w:rPr>
                        <w:rFonts w:hint="eastAsia"/>
                        <w:b/>
                        <w:bCs/>
                        <w:color w:val="FFFFFF" w:themeColor="background1"/>
                        <w:sz w:val="32"/>
                        <w:szCs w:val="36"/>
                      </w:rPr>
                      <w:t>券</w:t>
                    </w:r>
                    <w:proofErr w:type="gramEnd"/>
                  </w:p>
                  <w:p w14:paraId="2DC74180" w14:textId="4905E14E" w:rsidR="00BC6CCE" w:rsidRDefault="00CE2A3C">
                    <w:pPr>
                      <w:rPr>
                        <w:b/>
                        <w:bCs/>
                        <w:color w:val="FFFFFF" w:themeColor="background1"/>
                        <w:sz w:val="32"/>
                        <w:szCs w:val="36"/>
                      </w:rPr>
                    </w:pPr>
                    <w:r>
                      <w:rPr>
                        <w:rFonts w:hint="eastAsia"/>
                        <w:b/>
                        <w:bCs/>
                        <w:color w:val="FFFFFF" w:themeColor="background1"/>
                        <w:sz w:val="32"/>
                        <w:szCs w:val="36"/>
                      </w:rPr>
                      <w:t>研究报告</w:t>
                    </w:r>
                  </w:p>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0C31D69C" wp14:editId="6F02C5C8">
              <wp:simplePos x="0" y="0"/>
              <wp:positionH relativeFrom="column">
                <wp:posOffset>4436110</wp:posOffset>
              </wp:positionH>
              <wp:positionV relativeFrom="paragraph">
                <wp:posOffset>483235</wp:posOffset>
              </wp:positionV>
              <wp:extent cx="2124075" cy="1404620"/>
              <wp:effectExtent l="0" t="0" r="0" b="0"/>
              <wp:wrapNone/>
              <wp:docPr id="2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4620"/>
                      </a:xfrm>
                      <a:prstGeom prst="rect">
                        <a:avLst/>
                      </a:prstGeom>
                      <a:noFill/>
                      <a:ln w="9525">
                        <a:noFill/>
                        <a:miter lim="800000"/>
                      </a:ln>
                    </wps:spPr>
                    <wps:txbx>
                      <w:txbxContent>
                        <w:p w14:paraId="42840A78" w14:textId="243FAEFF" w:rsidR="00BC6CCE" w:rsidRDefault="00CE2A3C">
                          <w:pPr>
                            <w:rPr>
                              <w:color w:val="595959" w:themeColor="text1" w:themeTint="A6"/>
                              <w:sz w:val="18"/>
                              <w:szCs w:val="20"/>
                            </w:rPr>
                          </w:pPr>
                          <w:r>
                            <w:rPr>
                              <w:rFonts w:hint="eastAsia"/>
                              <w:b/>
                              <w:color w:val="595959" w:themeColor="text1" w:themeTint="A6"/>
                              <w:sz w:val="18"/>
                              <w:szCs w:val="20"/>
                            </w:rPr>
                            <w:t>请务必阅读投资评级定义和免责条款</w:t>
                          </w:r>
                        </w:p>
                        <w:p w14:paraId="5E9263A6" w14:textId="77777777" w:rsidR="00BC6CCE" w:rsidRDefault="00BC6CCE">
                          <w:pPr>
                            <w:jc w:val="right"/>
                            <w:rPr>
                              <w:color w:val="595959" w:themeColor="text1" w:themeTint="A6"/>
                              <w:sz w:val="18"/>
                              <w:szCs w:val="20"/>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C31D69C" id="_x0000_s1033" type="#_x0000_t202" style="position:absolute;margin-left:349.3pt;margin-top:38.05pt;width:167.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" filled="f" stroked="f">
              <v:textbox style="mso-fit-shape-to-text:t">
                <w:txbxContent>
                  <w:p w14:paraId="42840A78" w14:textId="243FAEFF" w:rsidR="00BC6CCE" w:rsidRDefault="00CE2A3C">
                    <w:pPr>
                      <w:rPr>
                        <w:color w:val="595959" w:themeColor="text1" w:themeTint="A6"/>
                        <w:sz w:val="18"/>
                        <w:szCs w:val="20"/>
                      </w:rPr>
                    </w:pPr>
                    <w:r>
                      <w:rPr>
                        <w:rFonts w:hint="eastAsia"/>
                        <w:b/>
                        <w:color w:val="595959" w:themeColor="text1" w:themeTint="A6"/>
                        <w:sz w:val="18"/>
                        <w:szCs w:val="20"/>
                      </w:rPr>
                      <w:t>请务必阅读投资评级定义和免责条款</w:t>
                    </w:r>
                  </w:p>
                  <w:p w14:paraId="5E9263A6" w14:textId="77777777" w:rsidR="00BC6CCE" w:rsidRDefault="00BC6CCE">
                    <w:pPr>
                      <w:jc w:val="right"/>
                      <w:rPr>
                        <w:color w:val="595959" w:themeColor="text1" w:themeTint="A6"/>
                        <w:sz w:val="18"/>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84F2" w14:textId="77777777" w:rsidR="005D257B" w:rsidRDefault="005D257B">
      <w:r>
        <w:separator/>
      </w:r>
    </w:p>
  </w:footnote>
  <w:footnote w:type="continuationSeparator" w:id="0">
    <w:p w14:paraId="7F4561E0" w14:textId="77777777" w:rsidR="005D257B" w:rsidRDefault="005D2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B21C" w14:textId="7BA15ED6" w:rsidR="00BC6CCE" w:rsidRDefault="008265C2">
    <w:pPr>
      <w:pStyle w:val="a8"/>
      <w:pBdr>
        <w:bottom w:val="none" w:sz="0" w:space="1" w:color="548DD4"/>
      </w:pBdr>
      <w:ind w:leftChars="-135" w:left="-283"/>
      <w:jc w:val="right"/>
      <w:rPr>
        <w:rFonts w:ascii="楷体" w:hAnsi="楷体"/>
        <w:sz w:val="21"/>
        <w:szCs w:val="21"/>
      </w:rPr>
    </w:pPr>
    <w:r>
      <w:rPr>
        <w:rFonts w:ascii="楷体" w:hAnsi="楷体"/>
        <w:noProof/>
        <w:szCs w:val="21"/>
      </w:rPr>
      <w:drawing>
        <wp:anchor distT="0" distB="0" distL="114300" distR="114300" simplePos="0" relativeHeight="251672576" behindDoc="0" locked="0" layoutInCell="1" allowOverlap="1" wp14:anchorId="78C039F7" wp14:editId="5ADA2607">
          <wp:simplePos x="0" y="0"/>
          <wp:positionH relativeFrom="column">
            <wp:posOffset>-201930</wp:posOffset>
          </wp:positionH>
          <wp:positionV relativeFrom="paragraph">
            <wp:posOffset>-180340</wp:posOffset>
          </wp:positionV>
          <wp:extent cx="2059200" cy="680400"/>
          <wp:effectExtent l="0" t="0" r="0" b="0"/>
          <wp:wrapNone/>
          <wp:docPr id="8" name="图片 8" descr="C:\Users\lenovo\Desktop\研报模板-20210512\公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研报模板-20210512\公司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200" cy="68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EC141" w14:textId="77777777" w:rsidR="00BC6CCE" w:rsidRDefault="00BA0DC0">
    <w:pPr>
      <w:pStyle w:val="a8"/>
      <w:pBdr>
        <w:bottom w:val="none" w:sz="0" w:space="1" w:color="548DD4"/>
      </w:pBdr>
      <w:ind w:leftChars="-135" w:left="-283"/>
      <w:jc w:val="right"/>
      <w:rPr>
        <w:rFonts w:ascii="楷体" w:hAnsi="楷体"/>
        <w:sz w:val="21"/>
        <w:szCs w:val="21"/>
      </w:rPr>
    </w:pPr>
    <w:r>
      <w:rPr>
        <w:rFonts w:ascii="楷体" w:hAnsi="楷体"/>
        <w:noProof/>
        <w:sz w:val="21"/>
        <w:szCs w:val="21"/>
      </w:rPr>
      <mc:AlternateContent>
        <mc:Choice Requires="wps">
          <w:drawing>
            <wp:anchor distT="45720" distB="45720" distL="114300" distR="114300" simplePos="0" relativeHeight="251662336" behindDoc="0" locked="0" layoutInCell="1" allowOverlap="1" wp14:anchorId="18040191" wp14:editId="6CBCE945">
              <wp:simplePos x="0" y="0"/>
              <wp:positionH relativeFrom="margin">
                <wp:posOffset>5581650</wp:posOffset>
              </wp:positionH>
              <wp:positionV relativeFrom="page">
                <wp:posOffset>800100</wp:posOffset>
              </wp:positionV>
              <wp:extent cx="959485" cy="26416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64160"/>
                      </a:xfrm>
                      <a:prstGeom prst="rect">
                        <a:avLst/>
                      </a:prstGeom>
                      <a:noFill/>
                      <a:ln w="9525">
                        <a:noFill/>
                        <a:miter lim="800000"/>
                      </a:ln>
                    </wps:spPr>
                    <wps:txbx>
                      <w:txbxContent>
                        <w:p w14:paraId="08DB9B24" w14:textId="469123CE" w:rsidR="00BC6CCE" w:rsidRDefault="00CE2A3C">
                          <w:pPr>
                            <w:pStyle w:val="a8"/>
                            <w:pBdr>
                              <w:bottom w:val="none" w:sz="0" w:space="0" w:color="auto"/>
                            </w:pBdr>
                            <w:ind w:right="105"/>
                            <w:jc w:val="right"/>
                            <w:rPr>
                              <w:rFonts w:ascii="楷体" w:hAnsi="楷体"/>
                            </w:rPr>
                          </w:pPr>
                          <w:r>
                            <w:rPr>
                              <w:rFonts w:ascii="楷体" w:hAnsi="楷体" w:hint="eastAsia"/>
                              <w:sz w:val="21"/>
                              <w:szCs w:val="21"/>
                            </w:rPr>
                            <w:t>更新报告</w:t>
                          </w:r>
                        </w:p>
                        <w:p w14:paraId="6BDB6EBF" w14:textId="77777777" w:rsidR="00BC6CCE" w:rsidRDefault="00BC6CCE">
                          <w:pPr>
                            <w:pStyle w:val="a8"/>
                            <w:pBdr>
                              <w:bottom w:val="none" w:sz="0" w:space="0" w:color="auto"/>
                            </w:pBdr>
                            <w:jc w:val="right"/>
                            <w:rPr>
                              <w:rFonts w:ascii="楷体" w:hAnsi="楷体"/>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8040191" id="_x0000_t202" coordsize="21600,21600" o:spt="202" path="m,l,21600r21600,l21600,xe">
              <v:stroke joinstyle="miter"/>
              <v:path gradientshapeok="t" o:connecttype="rect"/>
            </v:shapetype>
            <v:shape id="文本框 2" o:spid="_x0000_s1029" type="#_x0000_t202" style="position:absolute;left:0;text-align:left;margin-left:439.5pt;margin-top:63pt;width:75.55pt;height:20.8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" filled="f" stroked="f">
              <v:textbox style="mso-fit-shape-to-text:t">
                <w:txbxContent>
                  <w:p w14:paraId="08DB9B24" w14:textId="469123CE" w:rsidR="00BC6CCE" w:rsidRDefault="00CE2A3C">
                    <w:pPr>
                      <w:pStyle w:val="a8"/>
                      <w:pBdr>
                        <w:bottom w:val="none" w:sz="0" w:space="0" w:color="auto"/>
                      </w:pBdr>
                      <w:ind w:right="105"/>
                      <w:jc w:val="right"/>
                      <w:rPr>
                        <w:rFonts w:ascii="楷体" w:hAnsi="楷体"/>
                      </w:rPr>
                    </w:pPr>
                    <w:r>
                      <w:rPr>
                        <w:rFonts w:ascii="楷体" w:hAnsi="楷体" w:hint="eastAsia"/>
                        <w:sz w:val="21"/>
                        <w:szCs w:val="21"/>
                      </w:rPr>
                      <w:t>更新报告</w:t>
                    </w:r>
                  </w:p>
                  <w:p w14:paraId="6BDB6EBF" w14:textId="77777777" w:rsidR="00BC6CCE" w:rsidRDefault="00BC6CCE">
                    <w:pPr>
                      <w:pStyle w:val="a8"/>
                      <w:pBdr>
                        <w:bottom w:val="none" w:sz="0" w:space="0" w:color="auto"/>
                      </w:pBdr>
                      <w:jc w:val="right"/>
                      <w:rPr>
                        <w:rFonts w:ascii="楷体" w:hAnsi="楷体"/>
                      </w:rPr>
                    </w:pPr>
                  </w:p>
                </w:txbxContent>
              </v:textbox>
              <w10:wrap anchorx="margin" anchory="page"/>
            </v:shape>
          </w:pict>
        </mc:Fallback>
      </mc:AlternateContent>
    </w:r>
  </w:p>
  <w:p w14:paraId="59688F5D" w14:textId="77777777" w:rsidR="00BC6CCE" w:rsidRDefault="00BC6CCE">
    <w:pPr>
      <w:pStyle w:val="a8"/>
      <w:pBdr>
        <w:top w:val="none" w:sz="0" w:space="1" w:color="auto"/>
        <w:left w:val="none" w:sz="0" w:space="4" w:color="auto"/>
        <w:bottom w:val="single" w:sz="12" w:space="1" w:color="004098"/>
        <w:right w:val="none" w:sz="0" w:space="4" w:color="auto"/>
      </w:pBdr>
      <w:ind w:leftChars="-135" w:left="-283"/>
      <w:jc w:val="right"/>
      <w:rPr>
        <w:rFonts w:ascii="楷体" w:hAnsi="楷体"/>
      </w:rPr>
    </w:pPr>
  </w:p>
  <w:p w14:paraId="1B50B7D5" w14:textId="77777777" w:rsidR="00BC6CCE" w:rsidRDefault="00BC6C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ECB6" w14:textId="39764C0D" w:rsidR="00BC6CCE" w:rsidRDefault="00752B56">
    <w:r>
      <w:rPr>
        <w:rFonts w:ascii="楷体" w:hAnsi="楷体"/>
        <w:noProof/>
        <w:szCs w:val="21"/>
      </w:rPr>
      <w:drawing>
        <wp:anchor distT="0" distB="0" distL="114300" distR="114300" simplePos="0" relativeHeight="251658239" behindDoc="0" locked="0" layoutInCell="1" allowOverlap="1" wp14:anchorId="00020068" wp14:editId="036CA2DD">
          <wp:simplePos x="0" y="0"/>
          <wp:positionH relativeFrom="column">
            <wp:posOffset>-201930</wp:posOffset>
          </wp:positionH>
          <wp:positionV relativeFrom="paragraph">
            <wp:posOffset>-290830</wp:posOffset>
          </wp:positionV>
          <wp:extent cx="2059200" cy="680400"/>
          <wp:effectExtent l="0" t="0" r="0" b="0"/>
          <wp:wrapNone/>
          <wp:docPr id="2" name="图片 2" descr="C:\Users\lenovo\Desktop\研报模板-20210512\公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研报模板-20210512\公司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200" cy="68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DC0">
      <w:rPr>
        <w:rFonts w:ascii="楷体" w:hAnsi="楷体"/>
        <w:noProof/>
        <w:szCs w:val="21"/>
      </w:rPr>
      <mc:AlternateContent>
        <mc:Choice Requires="wps">
          <w:drawing>
            <wp:anchor distT="45720" distB="45720" distL="114300" distR="114300" simplePos="0" relativeHeight="251666432" behindDoc="0" locked="0" layoutInCell="1" allowOverlap="1" wp14:anchorId="678E9CDF" wp14:editId="65250CDF">
              <wp:simplePos x="0" y="0"/>
              <wp:positionH relativeFrom="margin">
                <wp:posOffset>5553075</wp:posOffset>
              </wp:positionH>
              <wp:positionV relativeFrom="topMargin">
                <wp:posOffset>638175</wp:posOffset>
              </wp:positionV>
              <wp:extent cx="883285" cy="264160"/>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264160"/>
                      </a:xfrm>
                      <a:prstGeom prst="rect">
                        <a:avLst/>
                      </a:prstGeom>
                      <a:noFill/>
                      <a:ln w="9525">
                        <a:noFill/>
                        <a:miter lim="800000"/>
                      </a:ln>
                    </wps:spPr>
                    <wps:txbx>
                      <w:txbxContent>
                        <w:p w14:paraId="56BB92D5" w14:textId="3BB901CC" w:rsidR="00BC6CCE" w:rsidRDefault="00CE2A3C">
                          <w:pPr>
                            <w:pStyle w:val="a8"/>
                            <w:pBdr>
                              <w:bottom w:val="none" w:sz="0" w:space="0" w:color="auto"/>
                            </w:pBdr>
                            <w:ind w:right="105"/>
                            <w:jc w:val="right"/>
                            <w:rPr>
                              <w:rFonts w:ascii="楷体" w:hAnsi="楷体"/>
                            </w:rPr>
                          </w:pPr>
                          <w:r>
                            <w:rPr>
                              <w:rFonts w:ascii="楷体" w:hAnsi="楷体" w:hint="eastAsia"/>
                              <w:sz w:val="21"/>
                              <w:szCs w:val="21"/>
                            </w:rPr>
                            <w:t>更新报告</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78E9CDF" id="_x0000_t202" coordsize="21600,21600" o:spt="202" path="m,l,21600r21600,l21600,xe">
              <v:stroke joinstyle="miter"/>
              <v:path gradientshapeok="t" o:connecttype="rect"/>
            </v:shapetype>
            <v:shape id="_x0000_s1031" type="#_x0000_t202" style="position:absolute;left:0;text-align:left;margin-left:437.25pt;margin-top:50.25pt;width:69.55pt;height:20.8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" filled="f" stroked="f">
              <v:textbox style="mso-fit-shape-to-text:t">
                <w:txbxContent>
                  <w:p w14:paraId="56BB92D5" w14:textId="3BB901CC" w:rsidR="00BC6CCE" w:rsidRDefault="00CE2A3C">
                    <w:pPr>
                      <w:pStyle w:val="a8"/>
                      <w:pBdr>
                        <w:bottom w:val="none" w:sz="0" w:space="0" w:color="auto"/>
                      </w:pBdr>
                      <w:ind w:right="105"/>
                      <w:jc w:val="right"/>
                      <w:rPr>
                        <w:rFonts w:ascii="楷体" w:hAnsi="楷体"/>
                      </w:rPr>
                    </w:pPr>
                    <w:r>
                      <w:rPr>
                        <w:rFonts w:ascii="楷体" w:hAnsi="楷体" w:hint="eastAsia"/>
                        <w:sz w:val="21"/>
                        <w:szCs w:val="21"/>
                      </w:rPr>
                      <w:t>更新报告</w:t>
                    </w:r>
                  </w:p>
                </w:txbxContent>
              </v:textbox>
              <w10:wrap anchorx="margin" anchory="margin"/>
            </v:shape>
          </w:pict>
        </mc:Fallback>
      </mc:AlternateContent>
    </w:r>
    <w:r w:rsidR="00BA0DC0">
      <w:rPr>
        <w:noProof/>
      </w:rPr>
      <w:drawing>
        <wp:anchor distT="0" distB="0" distL="114300" distR="114300" simplePos="0" relativeHeight="251668480" behindDoc="0" locked="0" layoutInCell="1" allowOverlap="1" wp14:anchorId="596BBC80" wp14:editId="3ADADC89">
          <wp:simplePos x="0" y="0"/>
          <wp:positionH relativeFrom="column">
            <wp:posOffset>-707390</wp:posOffset>
          </wp:positionH>
          <wp:positionV relativeFrom="paragraph">
            <wp:posOffset>409575</wp:posOffset>
          </wp:positionV>
          <wp:extent cx="7581900" cy="9768205"/>
          <wp:effectExtent l="0" t="0" r="0" b="444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81900" cy="9768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37C98"/>
    <w:multiLevelType w:val="singleLevel"/>
    <w:tmpl w:val="BF737C98"/>
    <w:lvl w:ilvl="0">
      <w:start w:val="1"/>
      <w:numFmt w:val="bullet"/>
      <w:lvlText w:val=""/>
      <w:lvlJc w:val="left"/>
      <w:pPr>
        <w:ind w:left="420" w:hanging="420"/>
      </w:pPr>
      <w:rPr>
        <w:rFonts w:ascii="Wingdings" w:hAnsi="Wingdings" w:hint="default"/>
      </w:rPr>
    </w:lvl>
  </w:abstractNum>
  <w:abstractNum w:abstractNumId="1" w15:restartNumberingAfterBreak="0">
    <w:nsid w:val="31058590"/>
    <w:multiLevelType w:val="singleLevel"/>
    <w:tmpl w:val="31058590"/>
    <w:lvl w:ilvl="0">
      <w:start w:val="1"/>
      <w:numFmt w:val="bullet"/>
      <w:lvlText w:val=""/>
      <w:lvlJc w:val="left"/>
      <w:pPr>
        <w:ind w:left="420" w:hanging="420"/>
      </w:pPr>
      <w:rPr>
        <w:rFonts w:ascii="Wingdings" w:hAnsi="Wingdings" w:hint="default"/>
      </w:rPr>
    </w:lvl>
  </w:abstractNum>
  <w:num w:numId="1" w16cid:durableId="2043937392">
    <w:abstractNumId w:val="0"/>
  </w:num>
  <w:num w:numId="2" w16cid:durableId="138012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A5C"/>
    <w:rsid w:val="0000515A"/>
    <w:rsid w:val="00005486"/>
    <w:rsid w:val="00006058"/>
    <w:rsid w:val="00012130"/>
    <w:rsid w:val="000126E6"/>
    <w:rsid w:val="00016AA0"/>
    <w:rsid w:val="0002159E"/>
    <w:rsid w:val="0003102D"/>
    <w:rsid w:val="00033028"/>
    <w:rsid w:val="000339FF"/>
    <w:rsid w:val="00034302"/>
    <w:rsid w:val="00034B2C"/>
    <w:rsid w:val="000374EB"/>
    <w:rsid w:val="000415D4"/>
    <w:rsid w:val="00043818"/>
    <w:rsid w:val="00046246"/>
    <w:rsid w:val="00046305"/>
    <w:rsid w:val="00047F35"/>
    <w:rsid w:val="00050E6E"/>
    <w:rsid w:val="0005354E"/>
    <w:rsid w:val="0005450E"/>
    <w:rsid w:val="00060CD7"/>
    <w:rsid w:val="00064CCD"/>
    <w:rsid w:val="00064E60"/>
    <w:rsid w:val="00065AC9"/>
    <w:rsid w:val="00067E72"/>
    <w:rsid w:val="000706EB"/>
    <w:rsid w:val="00085E59"/>
    <w:rsid w:val="0009195A"/>
    <w:rsid w:val="00093AD6"/>
    <w:rsid w:val="00093E4D"/>
    <w:rsid w:val="00093F97"/>
    <w:rsid w:val="000953EA"/>
    <w:rsid w:val="00095B96"/>
    <w:rsid w:val="000969C4"/>
    <w:rsid w:val="000A1C48"/>
    <w:rsid w:val="000A3BC4"/>
    <w:rsid w:val="000A51BD"/>
    <w:rsid w:val="000A79B6"/>
    <w:rsid w:val="000B51DB"/>
    <w:rsid w:val="000B5798"/>
    <w:rsid w:val="000C18CB"/>
    <w:rsid w:val="000C1C2D"/>
    <w:rsid w:val="000C3504"/>
    <w:rsid w:val="000C5925"/>
    <w:rsid w:val="000C6371"/>
    <w:rsid w:val="000C6BFE"/>
    <w:rsid w:val="000C71FE"/>
    <w:rsid w:val="000C7648"/>
    <w:rsid w:val="000D219C"/>
    <w:rsid w:val="000D3721"/>
    <w:rsid w:val="000D3E02"/>
    <w:rsid w:val="000D4214"/>
    <w:rsid w:val="000D469F"/>
    <w:rsid w:val="000D5DBB"/>
    <w:rsid w:val="000D73C1"/>
    <w:rsid w:val="000E19D2"/>
    <w:rsid w:val="000E4AF7"/>
    <w:rsid w:val="000E5EE6"/>
    <w:rsid w:val="000F3BCF"/>
    <w:rsid w:val="000F66F7"/>
    <w:rsid w:val="000F6D6A"/>
    <w:rsid w:val="00101E89"/>
    <w:rsid w:val="00103EF1"/>
    <w:rsid w:val="001045EE"/>
    <w:rsid w:val="00105985"/>
    <w:rsid w:val="001109E0"/>
    <w:rsid w:val="001112B0"/>
    <w:rsid w:val="0011344D"/>
    <w:rsid w:val="00120089"/>
    <w:rsid w:val="0012074F"/>
    <w:rsid w:val="00127392"/>
    <w:rsid w:val="00130EBE"/>
    <w:rsid w:val="001319B0"/>
    <w:rsid w:val="001326EB"/>
    <w:rsid w:val="001332D1"/>
    <w:rsid w:val="00134C1D"/>
    <w:rsid w:val="00137703"/>
    <w:rsid w:val="0014126B"/>
    <w:rsid w:val="00142D2B"/>
    <w:rsid w:val="001431A9"/>
    <w:rsid w:val="00147D6A"/>
    <w:rsid w:val="00150E09"/>
    <w:rsid w:val="00150E4B"/>
    <w:rsid w:val="00157542"/>
    <w:rsid w:val="00157D1F"/>
    <w:rsid w:val="001665C8"/>
    <w:rsid w:val="00166B75"/>
    <w:rsid w:val="00172566"/>
    <w:rsid w:val="00172A27"/>
    <w:rsid w:val="00172A37"/>
    <w:rsid w:val="00176FD3"/>
    <w:rsid w:val="0018251F"/>
    <w:rsid w:val="00186292"/>
    <w:rsid w:val="0019335F"/>
    <w:rsid w:val="00194863"/>
    <w:rsid w:val="001A21EB"/>
    <w:rsid w:val="001A2B6F"/>
    <w:rsid w:val="001A30E4"/>
    <w:rsid w:val="001A3741"/>
    <w:rsid w:val="001A605F"/>
    <w:rsid w:val="001A708A"/>
    <w:rsid w:val="001B0DB2"/>
    <w:rsid w:val="001B2E96"/>
    <w:rsid w:val="001C11BD"/>
    <w:rsid w:val="001C52D3"/>
    <w:rsid w:val="001C74C9"/>
    <w:rsid w:val="001D132B"/>
    <w:rsid w:val="001D21E2"/>
    <w:rsid w:val="001D256D"/>
    <w:rsid w:val="001D3947"/>
    <w:rsid w:val="001D4DC9"/>
    <w:rsid w:val="001D51A5"/>
    <w:rsid w:val="001D5D0B"/>
    <w:rsid w:val="001D6516"/>
    <w:rsid w:val="001E042D"/>
    <w:rsid w:val="001E0FF5"/>
    <w:rsid w:val="001E2A6A"/>
    <w:rsid w:val="001E2C61"/>
    <w:rsid w:val="001E3A08"/>
    <w:rsid w:val="001E506D"/>
    <w:rsid w:val="001E5EC1"/>
    <w:rsid w:val="001F0C0E"/>
    <w:rsid w:val="001F143E"/>
    <w:rsid w:val="001F6F4F"/>
    <w:rsid w:val="001F792C"/>
    <w:rsid w:val="001F7FDD"/>
    <w:rsid w:val="00200024"/>
    <w:rsid w:val="002003AF"/>
    <w:rsid w:val="0020408C"/>
    <w:rsid w:val="00207C14"/>
    <w:rsid w:val="00211A68"/>
    <w:rsid w:val="00212C42"/>
    <w:rsid w:val="00215171"/>
    <w:rsid w:val="00215C85"/>
    <w:rsid w:val="00220096"/>
    <w:rsid w:val="002213CF"/>
    <w:rsid w:val="00222427"/>
    <w:rsid w:val="002246D4"/>
    <w:rsid w:val="00225A59"/>
    <w:rsid w:val="00230367"/>
    <w:rsid w:val="00236390"/>
    <w:rsid w:val="002418A0"/>
    <w:rsid w:val="00241F2A"/>
    <w:rsid w:val="00242226"/>
    <w:rsid w:val="00244013"/>
    <w:rsid w:val="002447DB"/>
    <w:rsid w:val="0024618C"/>
    <w:rsid w:val="00246DD6"/>
    <w:rsid w:val="00251C6E"/>
    <w:rsid w:val="00252158"/>
    <w:rsid w:val="00252AA6"/>
    <w:rsid w:val="00253E55"/>
    <w:rsid w:val="00263DDC"/>
    <w:rsid w:val="00265234"/>
    <w:rsid w:val="00272C55"/>
    <w:rsid w:val="0027383F"/>
    <w:rsid w:val="002753C4"/>
    <w:rsid w:val="00277126"/>
    <w:rsid w:val="002818EA"/>
    <w:rsid w:val="00282B48"/>
    <w:rsid w:val="00284314"/>
    <w:rsid w:val="00290951"/>
    <w:rsid w:val="002922A1"/>
    <w:rsid w:val="00293199"/>
    <w:rsid w:val="002938DA"/>
    <w:rsid w:val="002944FE"/>
    <w:rsid w:val="002A0102"/>
    <w:rsid w:val="002A03FC"/>
    <w:rsid w:val="002A0B32"/>
    <w:rsid w:val="002A261D"/>
    <w:rsid w:val="002A2D97"/>
    <w:rsid w:val="002B0B59"/>
    <w:rsid w:val="002B2F3E"/>
    <w:rsid w:val="002B3549"/>
    <w:rsid w:val="002B5BE0"/>
    <w:rsid w:val="002B6D03"/>
    <w:rsid w:val="002B6DC9"/>
    <w:rsid w:val="002C01DB"/>
    <w:rsid w:val="002C0388"/>
    <w:rsid w:val="002C71D6"/>
    <w:rsid w:val="002D2102"/>
    <w:rsid w:val="002D3868"/>
    <w:rsid w:val="002D468D"/>
    <w:rsid w:val="002E1236"/>
    <w:rsid w:val="002E4B01"/>
    <w:rsid w:val="002E5515"/>
    <w:rsid w:val="002F003E"/>
    <w:rsid w:val="002F24A7"/>
    <w:rsid w:val="002F2FE5"/>
    <w:rsid w:val="002F3F41"/>
    <w:rsid w:val="002F44C9"/>
    <w:rsid w:val="002F4790"/>
    <w:rsid w:val="002F7AAD"/>
    <w:rsid w:val="00303E2D"/>
    <w:rsid w:val="003045CD"/>
    <w:rsid w:val="00306DDB"/>
    <w:rsid w:val="00310547"/>
    <w:rsid w:val="00314BD3"/>
    <w:rsid w:val="00315019"/>
    <w:rsid w:val="0032099F"/>
    <w:rsid w:val="00321BC1"/>
    <w:rsid w:val="00323A3F"/>
    <w:rsid w:val="003265F0"/>
    <w:rsid w:val="00330293"/>
    <w:rsid w:val="00333AA8"/>
    <w:rsid w:val="0033756A"/>
    <w:rsid w:val="00341412"/>
    <w:rsid w:val="003446F0"/>
    <w:rsid w:val="00344910"/>
    <w:rsid w:val="00351962"/>
    <w:rsid w:val="003526F2"/>
    <w:rsid w:val="00352A34"/>
    <w:rsid w:val="0035327E"/>
    <w:rsid w:val="00354820"/>
    <w:rsid w:val="0035753B"/>
    <w:rsid w:val="00357937"/>
    <w:rsid w:val="00360214"/>
    <w:rsid w:val="0036266D"/>
    <w:rsid w:val="003638ED"/>
    <w:rsid w:val="00364159"/>
    <w:rsid w:val="0036446A"/>
    <w:rsid w:val="003646F8"/>
    <w:rsid w:val="003655BC"/>
    <w:rsid w:val="0036584F"/>
    <w:rsid w:val="00366CF0"/>
    <w:rsid w:val="00367E57"/>
    <w:rsid w:val="003714C7"/>
    <w:rsid w:val="00375057"/>
    <w:rsid w:val="0037796B"/>
    <w:rsid w:val="00381FE5"/>
    <w:rsid w:val="00382015"/>
    <w:rsid w:val="00384D2C"/>
    <w:rsid w:val="00386231"/>
    <w:rsid w:val="00390699"/>
    <w:rsid w:val="003937F3"/>
    <w:rsid w:val="00393EE9"/>
    <w:rsid w:val="00394A35"/>
    <w:rsid w:val="00395537"/>
    <w:rsid w:val="003A1CBE"/>
    <w:rsid w:val="003A60EE"/>
    <w:rsid w:val="003A7073"/>
    <w:rsid w:val="003B1A1D"/>
    <w:rsid w:val="003B574F"/>
    <w:rsid w:val="003B77C2"/>
    <w:rsid w:val="003C0571"/>
    <w:rsid w:val="003C1BA9"/>
    <w:rsid w:val="003C3DEB"/>
    <w:rsid w:val="003C7200"/>
    <w:rsid w:val="003D4812"/>
    <w:rsid w:val="003D7ECE"/>
    <w:rsid w:val="003D7FF4"/>
    <w:rsid w:val="003E1978"/>
    <w:rsid w:val="003E23A7"/>
    <w:rsid w:val="003E357B"/>
    <w:rsid w:val="003E35C3"/>
    <w:rsid w:val="003E4C57"/>
    <w:rsid w:val="003E51FB"/>
    <w:rsid w:val="003E6310"/>
    <w:rsid w:val="003F0A74"/>
    <w:rsid w:val="003F3011"/>
    <w:rsid w:val="003F365E"/>
    <w:rsid w:val="003F3EBF"/>
    <w:rsid w:val="003F4EBC"/>
    <w:rsid w:val="003F563C"/>
    <w:rsid w:val="003F5D8E"/>
    <w:rsid w:val="003F64B6"/>
    <w:rsid w:val="00402804"/>
    <w:rsid w:val="00403379"/>
    <w:rsid w:val="00404229"/>
    <w:rsid w:val="00404994"/>
    <w:rsid w:val="00404C78"/>
    <w:rsid w:val="0040726E"/>
    <w:rsid w:val="004107CC"/>
    <w:rsid w:val="00411860"/>
    <w:rsid w:val="00414A99"/>
    <w:rsid w:val="00415231"/>
    <w:rsid w:val="0041662D"/>
    <w:rsid w:val="004166F2"/>
    <w:rsid w:val="0041681E"/>
    <w:rsid w:val="00417570"/>
    <w:rsid w:val="00422F59"/>
    <w:rsid w:val="00424D58"/>
    <w:rsid w:val="00424E30"/>
    <w:rsid w:val="00430359"/>
    <w:rsid w:val="00430494"/>
    <w:rsid w:val="00431F85"/>
    <w:rsid w:val="0043258C"/>
    <w:rsid w:val="00433DFD"/>
    <w:rsid w:val="0043434A"/>
    <w:rsid w:val="00435CA0"/>
    <w:rsid w:val="00437F6E"/>
    <w:rsid w:val="00441EC1"/>
    <w:rsid w:val="00441FC8"/>
    <w:rsid w:val="00445E58"/>
    <w:rsid w:val="0044659C"/>
    <w:rsid w:val="00447299"/>
    <w:rsid w:val="004502D9"/>
    <w:rsid w:val="004508C8"/>
    <w:rsid w:val="00450E9D"/>
    <w:rsid w:val="004524D5"/>
    <w:rsid w:val="004532EB"/>
    <w:rsid w:val="00453849"/>
    <w:rsid w:val="004538BB"/>
    <w:rsid w:val="0045418D"/>
    <w:rsid w:val="00455A15"/>
    <w:rsid w:val="0046435B"/>
    <w:rsid w:val="004643DD"/>
    <w:rsid w:val="004664BF"/>
    <w:rsid w:val="0047371B"/>
    <w:rsid w:val="00476786"/>
    <w:rsid w:val="00480137"/>
    <w:rsid w:val="004805F8"/>
    <w:rsid w:val="00483020"/>
    <w:rsid w:val="00483B89"/>
    <w:rsid w:val="00483DA7"/>
    <w:rsid w:val="00483E92"/>
    <w:rsid w:val="00485DC4"/>
    <w:rsid w:val="00490F73"/>
    <w:rsid w:val="00496654"/>
    <w:rsid w:val="004A2CC3"/>
    <w:rsid w:val="004A4FA2"/>
    <w:rsid w:val="004B0948"/>
    <w:rsid w:val="004B0D5F"/>
    <w:rsid w:val="004B46D5"/>
    <w:rsid w:val="004B4F05"/>
    <w:rsid w:val="004B5650"/>
    <w:rsid w:val="004B599F"/>
    <w:rsid w:val="004B69A2"/>
    <w:rsid w:val="004B6D3B"/>
    <w:rsid w:val="004C09F5"/>
    <w:rsid w:val="004C2879"/>
    <w:rsid w:val="004C298D"/>
    <w:rsid w:val="004C6241"/>
    <w:rsid w:val="004D63E8"/>
    <w:rsid w:val="004D7FA7"/>
    <w:rsid w:val="004E0294"/>
    <w:rsid w:val="004E0613"/>
    <w:rsid w:val="004E1D36"/>
    <w:rsid w:val="004E2FE2"/>
    <w:rsid w:val="004E31FE"/>
    <w:rsid w:val="004E5A8C"/>
    <w:rsid w:val="004E6858"/>
    <w:rsid w:val="004F03FA"/>
    <w:rsid w:val="004F0616"/>
    <w:rsid w:val="004F1D51"/>
    <w:rsid w:val="004F6FA4"/>
    <w:rsid w:val="00502518"/>
    <w:rsid w:val="00507F4E"/>
    <w:rsid w:val="00507FD6"/>
    <w:rsid w:val="00510EE9"/>
    <w:rsid w:val="00512696"/>
    <w:rsid w:val="005241ED"/>
    <w:rsid w:val="00524992"/>
    <w:rsid w:val="0052718C"/>
    <w:rsid w:val="00530EE7"/>
    <w:rsid w:val="00531C66"/>
    <w:rsid w:val="00532856"/>
    <w:rsid w:val="005331A9"/>
    <w:rsid w:val="005415B1"/>
    <w:rsid w:val="0054191F"/>
    <w:rsid w:val="005430A3"/>
    <w:rsid w:val="00543A72"/>
    <w:rsid w:val="00545B2B"/>
    <w:rsid w:val="00546652"/>
    <w:rsid w:val="005507A6"/>
    <w:rsid w:val="00551387"/>
    <w:rsid w:val="0055403A"/>
    <w:rsid w:val="005547DF"/>
    <w:rsid w:val="00554F27"/>
    <w:rsid w:val="005574E6"/>
    <w:rsid w:val="0056038F"/>
    <w:rsid w:val="00566EEF"/>
    <w:rsid w:val="00566F86"/>
    <w:rsid w:val="00570793"/>
    <w:rsid w:val="00570B04"/>
    <w:rsid w:val="005735E5"/>
    <w:rsid w:val="00573D69"/>
    <w:rsid w:val="00574C92"/>
    <w:rsid w:val="00575CBC"/>
    <w:rsid w:val="005817E4"/>
    <w:rsid w:val="0058183B"/>
    <w:rsid w:val="00584FA5"/>
    <w:rsid w:val="005859A6"/>
    <w:rsid w:val="005865F0"/>
    <w:rsid w:val="00590E85"/>
    <w:rsid w:val="005912D4"/>
    <w:rsid w:val="005931B5"/>
    <w:rsid w:val="005939A9"/>
    <w:rsid w:val="00595BE5"/>
    <w:rsid w:val="00596DDB"/>
    <w:rsid w:val="005974E5"/>
    <w:rsid w:val="00597E7D"/>
    <w:rsid w:val="005A0D48"/>
    <w:rsid w:val="005A2A22"/>
    <w:rsid w:val="005A3FDF"/>
    <w:rsid w:val="005A4C9D"/>
    <w:rsid w:val="005A5BD4"/>
    <w:rsid w:val="005A72C5"/>
    <w:rsid w:val="005A75AD"/>
    <w:rsid w:val="005A77EB"/>
    <w:rsid w:val="005B2E67"/>
    <w:rsid w:val="005B2F00"/>
    <w:rsid w:val="005B31B1"/>
    <w:rsid w:val="005B3A87"/>
    <w:rsid w:val="005B4154"/>
    <w:rsid w:val="005B419C"/>
    <w:rsid w:val="005B5574"/>
    <w:rsid w:val="005C016A"/>
    <w:rsid w:val="005C1D10"/>
    <w:rsid w:val="005C2F18"/>
    <w:rsid w:val="005C317D"/>
    <w:rsid w:val="005C3383"/>
    <w:rsid w:val="005C49ED"/>
    <w:rsid w:val="005C5C45"/>
    <w:rsid w:val="005C617D"/>
    <w:rsid w:val="005C67F7"/>
    <w:rsid w:val="005D257B"/>
    <w:rsid w:val="005D3D3C"/>
    <w:rsid w:val="005D470D"/>
    <w:rsid w:val="005E3CAA"/>
    <w:rsid w:val="005E6469"/>
    <w:rsid w:val="005E6951"/>
    <w:rsid w:val="005F010B"/>
    <w:rsid w:val="005F1106"/>
    <w:rsid w:val="005F11E3"/>
    <w:rsid w:val="005F4CCA"/>
    <w:rsid w:val="005F64BA"/>
    <w:rsid w:val="005F6F9E"/>
    <w:rsid w:val="005F717A"/>
    <w:rsid w:val="00600EE0"/>
    <w:rsid w:val="00604868"/>
    <w:rsid w:val="00606AF7"/>
    <w:rsid w:val="00607F7A"/>
    <w:rsid w:val="00611DF3"/>
    <w:rsid w:val="00613F8D"/>
    <w:rsid w:val="006153BC"/>
    <w:rsid w:val="00615953"/>
    <w:rsid w:val="00615D91"/>
    <w:rsid w:val="0061719D"/>
    <w:rsid w:val="006175E0"/>
    <w:rsid w:val="006202A1"/>
    <w:rsid w:val="006237B8"/>
    <w:rsid w:val="006237E0"/>
    <w:rsid w:val="00626BF1"/>
    <w:rsid w:val="00626DB0"/>
    <w:rsid w:val="00627C1C"/>
    <w:rsid w:val="00630714"/>
    <w:rsid w:val="00631AB1"/>
    <w:rsid w:val="00632FAA"/>
    <w:rsid w:val="006330D5"/>
    <w:rsid w:val="00635887"/>
    <w:rsid w:val="00635FE0"/>
    <w:rsid w:val="00637285"/>
    <w:rsid w:val="00637808"/>
    <w:rsid w:val="00643BC6"/>
    <w:rsid w:val="006443D6"/>
    <w:rsid w:val="00645503"/>
    <w:rsid w:val="00653D1C"/>
    <w:rsid w:val="00653D8F"/>
    <w:rsid w:val="00657064"/>
    <w:rsid w:val="00657B1D"/>
    <w:rsid w:val="0066321C"/>
    <w:rsid w:val="00663CA3"/>
    <w:rsid w:val="00664784"/>
    <w:rsid w:val="00664CCB"/>
    <w:rsid w:val="00664D07"/>
    <w:rsid w:val="00670770"/>
    <w:rsid w:val="006717DD"/>
    <w:rsid w:val="00671C60"/>
    <w:rsid w:val="006764BD"/>
    <w:rsid w:val="0067731B"/>
    <w:rsid w:val="00677786"/>
    <w:rsid w:val="00677960"/>
    <w:rsid w:val="00686627"/>
    <w:rsid w:val="006871D8"/>
    <w:rsid w:val="0068762C"/>
    <w:rsid w:val="00687A12"/>
    <w:rsid w:val="00690EDA"/>
    <w:rsid w:val="00690FF5"/>
    <w:rsid w:val="0069149A"/>
    <w:rsid w:val="00694C27"/>
    <w:rsid w:val="006958D1"/>
    <w:rsid w:val="00695DCA"/>
    <w:rsid w:val="00696B5D"/>
    <w:rsid w:val="00697D0C"/>
    <w:rsid w:val="006A0DC3"/>
    <w:rsid w:val="006A0FBE"/>
    <w:rsid w:val="006A1D99"/>
    <w:rsid w:val="006A62A6"/>
    <w:rsid w:val="006B3A05"/>
    <w:rsid w:val="006B3BAF"/>
    <w:rsid w:val="006B6A59"/>
    <w:rsid w:val="006C14F7"/>
    <w:rsid w:val="006C2709"/>
    <w:rsid w:val="006C2A11"/>
    <w:rsid w:val="006C49FC"/>
    <w:rsid w:val="006C6CC1"/>
    <w:rsid w:val="006D1BB9"/>
    <w:rsid w:val="006D30CD"/>
    <w:rsid w:val="006D4170"/>
    <w:rsid w:val="006D5DA6"/>
    <w:rsid w:val="006E4957"/>
    <w:rsid w:val="006E6816"/>
    <w:rsid w:val="006E6918"/>
    <w:rsid w:val="006F0CEA"/>
    <w:rsid w:val="006F0E8B"/>
    <w:rsid w:val="006F72A7"/>
    <w:rsid w:val="00705A6D"/>
    <w:rsid w:val="00711E33"/>
    <w:rsid w:val="00714A83"/>
    <w:rsid w:val="00715BFF"/>
    <w:rsid w:val="0071634B"/>
    <w:rsid w:val="00717AE5"/>
    <w:rsid w:val="00721914"/>
    <w:rsid w:val="00722222"/>
    <w:rsid w:val="00722DF1"/>
    <w:rsid w:val="00724EE2"/>
    <w:rsid w:val="00726FEF"/>
    <w:rsid w:val="007300E2"/>
    <w:rsid w:val="0073120D"/>
    <w:rsid w:val="00736006"/>
    <w:rsid w:val="00741312"/>
    <w:rsid w:val="00741CC3"/>
    <w:rsid w:val="007459C5"/>
    <w:rsid w:val="00752721"/>
    <w:rsid w:val="00752B56"/>
    <w:rsid w:val="007540DF"/>
    <w:rsid w:val="0075640C"/>
    <w:rsid w:val="0075659A"/>
    <w:rsid w:val="00757B51"/>
    <w:rsid w:val="00757B64"/>
    <w:rsid w:val="007603D2"/>
    <w:rsid w:val="0076155F"/>
    <w:rsid w:val="00761CC9"/>
    <w:rsid w:val="00764EA7"/>
    <w:rsid w:val="00764EF6"/>
    <w:rsid w:val="00767529"/>
    <w:rsid w:val="00767537"/>
    <w:rsid w:val="00770DCE"/>
    <w:rsid w:val="00771799"/>
    <w:rsid w:val="00772EF8"/>
    <w:rsid w:val="007745CD"/>
    <w:rsid w:val="00774C92"/>
    <w:rsid w:val="007773D2"/>
    <w:rsid w:val="00781241"/>
    <w:rsid w:val="00785104"/>
    <w:rsid w:val="007855CA"/>
    <w:rsid w:val="00790E94"/>
    <w:rsid w:val="00791EF4"/>
    <w:rsid w:val="00792A73"/>
    <w:rsid w:val="00796884"/>
    <w:rsid w:val="007975EA"/>
    <w:rsid w:val="007A051A"/>
    <w:rsid w:val="007A0D96"/>
    <w:rsid w:val="007A7113"/>
    <w:rsid w:val="007B0A33"/>
    <w:rsid w:val="007B0FB1"/>
    <w:rsid w:val="007B27EB"/>
    <w:rsid w:val="007B60C8"/>
    <w:rsid w:val="007C26A9"/>
    <w:rsid w:val="007C4591"/>
    <w:rsid w:val="007C4A6E"/>
    <w:rsid w:val="007D1F2B"/>
    <w:rsid w:val="007D3969"/>
    <w:rsid w:val="007D4C7D"/>
    <w:rsid w:val="007E0F6F"/>
    <w:rsid w:val="007F0045"/>
    <w:rsid w:val="007F0D1C"/>
    <w:rsid w:val="007F107B"/>
    <w:rsid w:val="007F24DF"/>
    <w:rsid w:val="007F26D5"/>
    <w:rsid w:val="007F34AC"/>
    <w:rsid w:val="007F380B"/>
    <w:rsid w:val="007F3F80"/>
    <w:rsid w:val="007F434E"/>
    <w:rsid w:val="007F4C6E"/>
    <w:rsid w:val="007F5790"/>
    <w:rsid w:val="007F5A41"/>
    <w:rsid w:val="007F7289"/>
    <w:rsid w:val="008027FD"/>
    <w:rsid w:val="00805B6D"/>
    <w:rsid w:val="00806D20"/>
    <w:rsid w:val="00807BDF"/>
    <w:rsid w:val="00807D05"/>
    <w:rsid w:val="00810615"/>
    <w:rsid w:val="00810908"/>
    <w:rsid w:val="00811B2A"/>
    <w:rsid w:val="00811FDC"/>
    <w:rsid w:val="008204F4"/>
    <w:rsid w:val="00820C44"/>
    <w:rsid w:val="00824D40"/>
    <w:rsid w:val="008258B3"/>
    <w:rsid w:val="008265C2"/>
    <w:rsid w:val="008316CF"/>
    <w:rsid w:val="00832258"/>
    <w:rsid w:val="00832A07"/>
    <w:rsid w:val="008411D8"/>
    <w:rsid w:val="00841460"/>
    <w:rsid w:val="00842BC2"/>
    <w:rsid w:val="00844147"/>
    <w:rsid w:val="00844A7C"/>
    <w:rsid w:val="008462B9"/>
    <w:rsid w:val="008537BE"/>
    <w:rsid w:val="00854616"/>
    <w:rsid w:val="008570A0"/>
    <w:rsid w:val="00861238"/>
    <w:rsid w:val="00862FD3"/>
    <w:rsid w:val="008756FF"/>
    <w:rsid w:val="008816E9"/>
    <w:rsid w:val="00883C73"/>
    <w:rsid w:val="008902CE"/>
    <w:rsid w:val="00891E77"/>
    <w:rsid w:val="00892548"/>
    <w:rsid w:val="008964E7"/>
    <w:rsid w:val="00897CB5"/>
    <w:rsid w:val="008A362D"/>
    <w:rsid w:val="008A4C91"/>
    <w:rsid w:val="008A6E2C"/>
    <w:rsid w:val="008B03BF"/>
    <w:rsid w:val="008B059B"/>
    <w:rsid w:val="008B1150"/>
    <w:rsid w:val="008B168C"/>
    <w:rsid w:val="008C02DC"/>
    <w:rsid w:val="008C288C"/>
    <w:rsid w:val="008C40B4"/>
    <w:rsid w:val="008D23A0"/>
    <w:rsid w:val="008D2CA1"/>
    <w:rsid w:val="008D302F"/>
    <w:rsid w:val="008D347F"/>
    <w:rsid w:val="008D388A"/>
    <w:rsid w:val="008D45ED"/>
    <w:rsid w:val="008D6E87"/>
    <w:rsid w:val="008D7013"/>
    <w:rsid w:val="008E0D89"/>
    <w:rsid w:val="008E40FE"/>
    <w:rsid w:val="008E7C9A"/>
    <w:rsid w:val="008F3A6B"/>
    <w:rsid w:val="008F4AC9"/>
    <w:rsid w:val="008F51CC"/>
    <w:rsid w:val="008F524D"/>
    <w:rsid w:val="008F6E30"/>
    <w:rsid w:val="009032DC"/>
    <w:rsid w:val="00905C9C"/>
    <w:rsid w:val="00906ED9"/>
    <w:rsid w:val="00910DE2"/>
    <w:rsid w:val="009139C1"/>
    <w:rsid w:val="00914A70"/>
    <w:rsid w:val="00915E94"/>
    <w:rsid w:val="0091646B"/>
    <w:rsid w:val="00916FF4"/>
    <w:rsid w:val="00917B62"/>
    <w:rsid w:val="0092072C"/>
    <w:rsid w:val="00924E0D"/>
    <w:rsid w:val="00925F5D"/>
    <w:rsid w:val="0092634A"/>
    <w:rsid w:val="00926723"/>
    <w:rsid w:val="00927ED6"/>
    <w:rsid w:val="00932706"/>
    <w:rsid w:val="0093504E"/>
    <w:rsid w:val="00935499"/>
    <w:rsid w:val="00942B2C"/>
    <w:rsid w:val="00942F81"/>
    <w:rsid w:val="009434A7"/>
    <w:rsid w:val="0094383A"/>
    <w:rsid w:val="00944858"/>
    <w:rsid w:val="00944E8C"/>
    <w:rsid w:val="00944ECE"/>
    <w:rsid w:val="0094528D"/>
    <w:rsid w:val="00947F4A"/>
    <w:rsid w:val="00954669"/>
    <w:rsid w:val="0095781F"/>
    <w:rsid w:val="009641FE"/>
    <w:rsid w:val="00964866"/>
    <w:rsid w:val="0096609A"/>
    <w:rsid w:val="009673BE"/>
    <w:rsid w:val="009675BC"/>
    <w:rsid w:val="00971B81"/>
    <w:rsid w:val="00974211"/>
    <w:rsid w:val="00975054"/>
    <w:rsid w:val="00975D67"/>
    <w:rsid w:val="00976526"/>
    <w:rsid w:val="00981AF0"/>
    <w:rsid w:val="00981AFC"/>
    <w:rsid w:val="009857FB"/>
    <w:rsid w:val="0098780C"/>
    <w:rsid w:val="009924FA"/>
    <w:rsid w:val="009959BF"/>
    <w:rsid w:val="00995CEA"/>
    <w:rsid w:val="00995D8B"/>
    <w:rsid w:val="009A1B83"/>
    <w:rsid w:val="009A3713"/>
    <w:rsid w:val="009A3AE4"/>
    <w:rsid w:val="009A4D43"/>
    <w:rsid w:val="009B3137"/>
    <w:rsid w:val="009B5765"/>
    <w:rsid w:val="009B5BC3"/>
    <w:rsid w:val="009B5DB2"/>
    <w:rsid w:val="009B7642"/>
    <w:rsid w:val="009C0307"/>
    <w:rsid w:val="009C0588"/>
    <w:rsid w:val="009C0CFC"/>
    <w:rsid w:val="009C0DE7"/>
    <w:rsid w:val="009C1DA4"/>
    <w:rsid w:val="009C3E39"/>
    <w:rsid w:val="009C427D"/>
    <w:rsid w:val="009C4985"/>
    <w:rsid w:val="009C4CC2"/>
    <w:rsid w:val="009C695D"/>
    <w:rsid w:val="009D03F5"/>
    <w:rsid w:val="009D040D"/>
    <w:rsid w:val="009D1A23"/>
    <w:rsid w:val="009D1BAE"/>
    <w:rsid w:val="009D2B20"/>
    <w:rsid w:val="009D42C0"/>
    <w:rsid w:val="009D4D35"/>
    <w:rsid w:val="009D5B1F"/>
    <w:rsid w:val="009E023B"/>
    <w:rsid w:val="009E569C"/>
    <w:rsid w:val="009E5995"/>
    <w:rsid w:val="009E60FA"/>
    <w:rsid w:val="009F0D50"/>
    <w:rsid w:val="009F0D5C"/>
    <w:rsid w:val="009F7BE2"/>
    <w:rsid w:val="00A06749"/>
    <w:rsid w:val="00A0684D"/>
    <w:rsid w:val="00A0714B"/>
    <w:rsid w:val="00A1102C"/>
    <w:rsid w:val="00A13D98"/>
    <w:rsid w:val="00A160A6"/>
    <w:rsid w:val="00A16765"/>
    <w:rsid w:val="00A17139"/>
    <w:rsid w:val="00A20039"/>
    <w:rsid w:val="00A21806"/>
    <w:rsid w:val="00A22783"/>
    <w:rsid w:val="00A23DEB"/>
    <w:rsid w:val="00A23FB3"/>
    <w:rsid w:val="00A31BE4"/>
    <w:rsid w:val="00A31EE5"/>
    <w:rsid w:val="00A37297"/>
    <w:rsid w:val="00A40952"/>
    <w:rsid w:val="00A41FE5"/>
    <w:rsid w:val="00A50178"/>
    <w:rsid w:val="00A52E73"/>
    <w:rsid w:val="00A53D05"/>
    <w:rsid w:val="00A54449"/>
    <w:rsid w:val="00A5508E"/>
    <w:rsid w:val="00A60688"/>
    <w:rsid w:val="00A60BBB"/>
    <w:rsid w:val="00A63058"/>
    <w:rsid w:val="00A662DD"/>
    <w:rsid w:val="00A71FE1"/>
    <w:rsid w:val="00A7429D"/>
    <w:rsid w:val="00A74CF5"/>
    <w:rsid w:val="00A74F86"/>
    <w:rsid w:val="00A774FB"/>
    <w:rsid w:val="00A854C1"/>
    <w:rsid w:val="00A9171A"/>
    <w:rsid w:val="00A9182F"/>
    <w:rsid w:val="00A919C3"/>
    <w:rsid w:val="00A930DE"/>
    <w:rsid w:val="00A95EEE"/>
    <w:rsid w:val="00AA1DC5"/>
    <w:rsid w:val="00AA4405"/>
    <w:rsid w:val="00AA4E95"/>
    <w:rsid w:val="00AA5C7F"/>
    <w:rsid w:val="00AA601A"/>
    <w:rsid w:val="00AB1349"/>
    <w:rsid w:val="00AB3AD1"/>
    <w:rsid w:val="00AB5945"/>
    <w:rsid w:val="00AB5D58"/>
    <w:rsid w:val="00AC09A8"/>
    <w:rsid w:val="00AC190B"/>
    <w:rsid w:val="00AC2589"/>
    <w:rsid w:val="00AC574D"/>
    <w:rsid w:val="00AD0C55"/>
    <w:rsid w:val="00AD15B3"/>
    <w:rsid w:val="00AD4719"/>
    <w:rsid w:val="00AD652D"/>
    <w:rsid w:val="00AD69B8"/>
    <w:rsid w:val="00AD7B65"/>
    <w:rsid w:val="00AE6C68"/>
    <w:rsid w:val="00AF04FA"/>
    <w:rsid w:val="00AF09D7"/>
    <w:rsid w:val="00AF1A3A"/>
    <w:rsid w:val="00AF2B15"/>
    <w:rsid w:val="00AF3ABF"/>
    <w:rsid w:val="00B01B3D"/>
    <w:rsid w:val="00B062AD"/>
    <w:rsid w:val="00B110E9"/>
    <w:rsid w:val="00B13500"/>
    <w:rsid w:val="00B15622"/>
    <w:rsid w:val="00B210CC"/>
    <w:rsid w:val="00B21C29"/>
    <w:rsid w:val="00B2515C"/>
    <w:rsid w:val="00B27EF5"/>
    <w:rsid w:val="00B4051C"/>
    <w:rsid w:val="00B422B6"/>
    <w:rsid w:val="00B43380"/>
    <w:rsid w:val="00B43F4A"/>
    <w:rsid w:val="00B447BB"/>
    <w:rsid w:val="00B46E2C"/>
    <w:rsid w:val="00B47015"/>
    <w:rsid w:val="00B50336"/>
    <w:rsid w:val="00B53904"/>
    <w:rsid w:val="00B54A21"/>
    <w:rsid w:val="00B57177"/>
    <w:rsid w:val="00B60294"/>
    <w:rsid w:val="00B6062B"/>
    <w:rsid w:val="00B65555"/>
    <w:rsid w:val="00B65626"/>
    <w:rsid w:val="00B65718"/>
    <w:rsid w:val="00B6631A"/>
    <w:rsid w:val="00B72D90"/>
    <w:rsid w:val="00B74356"/>
    <w:rsid w:val="00B77E0A"/>
    <w:rsid w:val="00B80ACE"/>
    <w:rsid w:val="00B81A0F"/>
    <w:rsid w:val="00B824D4"/>
    <w:rsid w:val="00B8270A"/>
    <w:rsid w:val="00B8553D"/>
    <w:rsid w:val="00B929DC"/>
    <w:rsid w:val="00B965BD"/>
    <w:rsid w:val="00B96B39"/>
    <w:rsid w:val="00BA0DC0"/>
    <w:rsid w:val="00BA0FDB"/>
    <w:rsid w:val="00BA1E41"/>
    <w:rsid w:val="00BA31C1"/>
    <w:rsid w:val="00BA5624"/>
    <w:rsid w:val="00BA6DF0"/>
    <w:rsid w:val="00BA6F5B"/>
    <w:rsid w:val="00BB0C7D"/>
    <w:rsid w:val="00BB1433"/>
    <w:rsid w:val="00BB3507"/>
    <w:rsid w:val="00BB5D23"/>
    <w:rsid w:val="00BB7311"/>
    <w:rsid w:val="00BB7610"/>
    <w:rsid w:val="00BC145E"/>
    <w:rsid w:val="00BC364C"/>
    <w:rsid w:val="00BC3B3D"/>
    <w:rsid w:val="00BC4F38"/>
    <w:rsid w:val="00BC52B5"/>
    <w:rsid w:val="00BC6CCE"/>
    <w:rsid w:val="00BC70D9"/>
    <w:rsid w:val="00BC7409"/>
    <w:rsid w:val="00BD2A4C"/>
    <w:rsid w:val="00BD2E82"/>
    <w:rsid w:val="00BD3A6D"/>
    <w:rsid w:val="00BE1BA0"/>
    <w:rsid w:val="00BE280E"/>
    <w:rsid w:val="00BE2E38"/>
    <w:rsid w:val="00BE38A6"/>
    <w:rsid w:val="00BE6064"/>
    <w:rsid w:val="00BF1A89"/>
    <w:rsid w:val="00BF1E51"/>
    <w:rsid w:val="00BF297B"/>
    <w:rsid w:val="00BF5B23"/>
    <w:rsid w:val="00BF623F"/>
    <w:rsid w:val="00C0069D"/>
    <w:rsid w:val="00C013A6"/>
    <w:rsid w:val="00C025E7"/>
    <w:rsid w:val="00C067F3"/>
    <w:rsid w:val="00C07442"/>
    <w:rsid w:val="00C07602"/>
    <w:rsid w:val="00C07BDF"/>
    <w:rsid w:val="00C111A3"/>
    <w:rsid w:val="00C11C74"/>
    <w:rsid w:val="00C12758"/>
    <w:rsid w:val="00C13184"/>
    <w:rsid w:val="00C131DC"/>
    <w:rsid w:val="00C13837"/>
    <w:rsid w:val="00C163A0"/>
    <w:rsid w:val="00C2256D"/>
    <w:rsid w:val="00C24396"/>
    <w:rsid w:val="00C3107C"/>
    <w:rsid w:val="00C31863"/>
    <w:rsid w:val="00C3292F"/>
    <w:rsid w:val="00C375C0"/>
    <w:rsid w:val="00C403FA"/>
    <w:rsid w:val="00C42B40"/>
    <w:rsid w:val="00C42D22"/>
    <w:rsid w:val="00C440B9"/>
    <w:rsid w:val="00C45FA8"/>
    <w:rsid w:val="00C47483"/>
    <w:rsid w:val="00C522A1"/>
    <w:rsid w:val="00C538F1"/>
    <w:rsid w:val="00C53E9C"/>
    <w:rsid w:val="00C5563A"/>
    <w:rsid w:val="00C630A9"/>
    <w:rsid w:val="00C65D35"/>
    <w:rsid w:val="00C70835"/>
    <w:rsid w:val="00C71E90"/>
    <w:rsid w:val="00C7276C"/>
    <w:rsid w:val="00C730C8"/>
    <w:rsid w:val="00C733C2"/>
    <w:rsid w:val="00C73F3D"/>
    <w:rsid w:val="00C74441"/>
    <w:rsid w:val="00C760DE"/>
    <w:rsid w:val="00C83EB4"/>
    <w:rsid w:val="00C84541"/>
    <w:rsid w:val="00C84A29"/>
    <w:rsid w:val="00C92D74"/>
    <w:rsid w:val="00C9366A"/>
    <w:rsid w:val="00C97EB5"/>
    <w:rsid w:val="00CA1066"/>
    <w:rsid w:val="00CA1994"/>
    <w:rsid w:val="00CA37A9"/>
    <w:rsid w:val="00CA6472"/>
    <w:rsid w:val="00CB1A2E"/>
    <w:rsid w:val="00CB29D4"/>
    <w:rsid w:val="00CB2FF0"/>
    <w:rsid w:val="00CB5F44"/>
    <w:rsid w:val="00CC04FB"/>
    <w:rsid w:val="00CC54A5"/>
    <w:rsid w:val="00CC57B3"/>
    <w:rsid w:val="00CC7631"/>
    <w:rsid w:val="00CD3EB7"/>
    <w:rsid w:val="00CD4C67"/>
    <w:rsid w:val="00CD5843"/>
    <w:rsid w:val="00CD6EE9"/>
    <w:rsid w:val="00CD7B97"/>
    <w:rsid w:val="00CD7C3C"/>
    <w:rsid w:val="00CE2A3C"/>
    <w:rsid w:val="00CE49F7"/>
    <w:rsid w:val="00CE4F62"/>
    <w:rsid w:val="00CE6C55"/>
    <w:rsid w:val="00CE6D87"/>
    <w:rsid w:val="00CE7064"/>
    <w:rsid w:val="00CF08C4"/>
    <w:rsid w:val="00D02614"/>
    <w:rsid w:val="00D046DE"/>
    <w:rsid w:val="00D1100A"/>
    <w:rsid w:val="00D110D3"/>
    <w:rsid w:val="00D11998"/>
    <w:rsid w:val="00D1403F"/>
    <w:rsid w:val="00D208B4"/>
    <w:rsid w:val="00D234F6"/>
    <w:rsid w:val="00D23F35"/>
    <w:rsid w:val="00D25382"/>
    <w:rsid w:val="00D3003C"/>
    <w:rsid w:val="00D31775"/>
    <w:rsid w:val="00D34D1B"/>
    <w:rsid w:val="00D352D5"/>
    <w:rsid w:val="00D3632A"/>
    <w:rsid w:val="00D36A1E"/>
    <w:rsid w:val="00D4714D"/>
    <w:rsid w:val="00D47463"/>
    <w:rsid w:val="00D514FD"/>
    <w:rsid w:val="00D5406A"/>
    <w:rsid w:val="00D5681A"/>
    <w:rsid w:val="00D635DF"/>
    <w:rsid w:val="00D66D94"/>
    <w:rsid w:val="00D678CE"/>
    <w:rsid w:val="00D739ED"/>
    <w:rsid w:val="00D7473D"/>
    <w:rsid w:val="00D74AF1"/>
    <w:rsid w:val="00D75748"/>
    <w:rsid w:val="00D75A68"/>
    <w:rsid w:val="00D75CB2"/>
    <w:rsid w:val="00D77F0A"/>
    <w:rsid w:val="00D810F5"/>
    <w:rsid w:val="00D86301"/>
    <w:rsid w:val="00D90996"/>
    <w:rsid w:val="00D909BD"/>
    <w:rsid w:val="00D920E2"/>
    <w:rsid w:val="00D937DE"/>
    <w:rsid w:val="00DA18E0"/>
    <w:rsid w:val="00DA31C1"/>
    <w:rsid w:val="00DA3E8D"/>
    <w:rsid w:val="00DB01CA"/>
    <w:rsid w:val="00DB117B"/>
    <w:rsid w:val="00DB6454"/>
    <w:rsid w:val="00DB69E4"/>
    <w:rsid w:val="00DB71D5"/>
    <w:rsid w:val="00DB79A3"/>
    <w:rsid w:val="00DD1617"/>
    <w:rsid w:val="00DD2029"/>
    <w:rsid w:val="00DD5256"/>
    <w:rsid w:val="00DD5AA4"/>
    <w:rsid w:val="00DD7E37"/>
    <w:rsid w:val="00DE00A9"/>
    <w:rsid w:val="00DE1A52"/>
    <w:rsid w:val="00DE1FCC"/>
    <w:rsid w:val="00DE213E"/>
    <w:rsid w:val="00DE36B2"/>
    <w:rsid w:val="00DE5044"/>
    <w:rsid w:val="00DF08F3"/>
    <w:rsid w:val="00DF0CDB"/>
    <w:rsid w:val="00DF2DE4"/>
    <w:rsid w:val="00DF32EE"/>
    <w:rsid w:val="00DF5F00"/>
    <w:rsid w:val="00DF6C54"/>
    <w:rsid w:val="00DF736E"/>
    <w:rsid w:val="00DF7E1E"/>
    <w:rsid w:val="00DF7F2D"/>
    <w:rsid w:val="00E02034"/>
    <w:rsid w:val="00E032FE"/>
    <w:rsid w:val="00E03C6E"/>
    <w:rsid w:val="00E041F9"/>
    <w:rsid w:val="00E04983"/>
    <w:rsid w:val="00E1188C"/>
    <w:rsid w:val="00E11F84"/>
    <w:rsid w:val="00E12F30"/>
    <w:rsid w:val="00E131B5"/>
    <w:rsid w:val="00E160B3"/>
    <w:rsid w:val="00E20391"/>
    <w:rsid w:val="00E2216B"/>
    <w:rsid w:val="00E322EF"/>
    <w:rsid w:val="00E3317D"/>
    <w:rsid w:val="00E3484B"/>
    <w:rsid w:val="00E37DD1"/>
    <w:rsid w:val="00E4231E"/>
    <w:rsid w:val="00E45B23"/>
    <w:rsid w:val="00E45F90"/>
    <w:rsid w:val="00E46AE8"/>
    <w:rsid w:val="00E47DD7"/>
    <w:rsid w:val="00E52F8E"/>
    <w:rsid w:val="00E62FA4"/>
    <w:rsid w:val="00E6564E"/>
    <w:rsid w:val="00E65DF0"/>
    <w:rsid w:val="00E6748C"/>
    <w:rsid w:val="00E731A7"/>
    <w:rsid w:val="00E802B1"/>
    <w:rsid w:val="00E81699"/>
    <w:rsid w:val="00E81FBE"/>
    <w:rsid w:val="00E8225C"/>
    <w:rsid w:val="00E85492"/>
    <w:rsid w:val="00E94996"/>
    <w:rsid w:val="00E95AD3"/>
    <w:rsid w:val="00EA025B"/>
    <w:rsid w:val="00EA4257"/>
    <w:rsid w:val="00EA6C63"/>
    <w:rsid w:val="00EA7DF5"/>
    <w:rsid w:val="00EB09A8"/>
    <w:rsid w:val="00EB3945"/>
    <w:rsid w:val="00EB44E4"/>
    <w:rsid w:val="00EB6373"/>
    <w:rsid w:val="00EC203A"/>
    <w:rsid w:val="00EC54C6"/>
    <w:rsid w:val="00EC5F48"/>
    <w:rsid w:val="00ED0DDC"/>
    <w:rsid w:val="00ED277A"/>
    <w:rsid w:val="00ED2A40"/>
    <w:rsid w:val="00ED2BAB"/>
    <w:rsid w:val="00ED3FB9"/>
    <w:rsid w:val="00ED41B8"/>
    <w:rsid w:val="00ED4CAE"/>
    <w:rsid w:val="00ED70CF"/>
    <w:rsid w:val="00ED7F72"/>
    <w:rsid w:val="00EE1AFE"/>
    <w:rsid w:val="00EE3BCF"/>
    <w:rsid w:val="00EE6231"/>
    <w:rsid w:val="00EE6903"/>
    <w:rsid w:val="00EF1E2E"/>
    <w:rsid w:val="00EF2CB4"/>
    <w:rsid w:val="00EF454A"/>
    <w:rsid w:val="00EF4E82"/>
    <w:rsid w:val="00EF56B8"/>
    <w:rsid w:val="00F0002D"/>
    <w:rsid w:val="00F013A4"/>
    <w:rsid w:val="00F03490"/>
    <w:rsid w:val="00F05ECB"/>
    <w:rsid w:val="00F0661E"/>
    <w:rsid w:val="00F06E03"/>
    <w:rsid w:val="00F07609"/>
    <w:rsid w:val="00F10CBA"/>
    <w:rsid w:val="00F10DFE"/>
    <w:rsid w:val="00F12BEC"/>
    <w:rsid w:val="00F17EBE"/>
    <w:rsid w:val="00F24C93"/>
    <w:rsid w:val="00F30C3F"/>
    <w:rsid w:val="00F3184D"/>
    <w:rsid w:val="00F34BE9"/>
    <w:rsid w:val="00F37A5E"/>
    <w:rsid w:val="00F4099E"/>
    <w:rsid w:val="00F40CFA"/>
    <w:rsid w:val="00F424BA"/>
    <w:rsid w:val="00F4251F"/>
    <w:rsid w:val="00F43066"/>
    <w:rsid w:val="00F44E54"/>
    <w:rsid w:val="00F46D68"/>
    <w:rsid w:val="00F519ED"/>
    <w:rsid w:val="00F51B16"/>
    <w:rsid w:val="00F5223A"/>
    <w:rsid w:val="00F538DB"/>
    <w:rsid w:val="00F54E3C"/>
    <w:rsid w:val="00F578F9"/>
    <w:rsid w:val="00F57DAD"/>
    <w:rsid w:val="00F664F7"/>
    <w:rsid w:val="00F66888"/>
    <w:rsid w:val="00F6744D"/>
    <w:rsid w:val="00F676FA"/>
    <w:rsid w:val="00F70A5E"/>
    <w:rsid w:val="00F748AC"/>
    <w:rsid w:val="00F760F0"/>
    <w:rsid w:val="00F76393"/>
    <w:rsid w:val="00F821AB"/>
    <w:rsid w:val="00F824D6"/>
    <w:rsid w:val="00F84DD1"/>
    <w:rsid w:val="00F95600"/>
    <w:rsid w:val="00F96F91"/>
    <w:rsid w:val="00FA0A00"/>
    <w:rsid w:val="00FA16B8"/>
    <w:rsid w:val="00FA1C98"/>
    <w:rsid w:val="00FA3BE2"/>
    <w:rsid w:val="00FB0115"/>
    <w:rsid w:val="00FB251F"/>
    <w:rsid w:val="00FB3291"/>
    <w:rsid w:val="00FB4ACF"/>
    <w:rsid w:val="00FB6F74"/>
    <w:rsid w:val="00FB75FC"/>
    <w:rsid w:val="00FC2536"/>
    <w:rsid w:val="00FC2B93"/>
    <w:rsid w:val="00FC66A0"/>
    <w:rsid w:val="00FD14C8"/>
    <w:rsid w:val="00FD27BB"/>
    <w:rsid w:val="00FD44C6"/>
    <w:rsid w:val="00FD516E"/>
    <w:rsid w:val="00FD57B4"/>
    <w:rsid w:val="00FD7ACA"/>
    <w:rsid w:val="00FE09FE"/>
    <w:rsid w:val="00FE129E"/>
    <w:rsid w:val="00FE5392"/>
    <w:rsid w:val="00FE6574"/>
    <w:rsid w:val="00FE65CA"/>
    <w:rsid w:val="00FE6AAA"/>
    <w:rsid w:val="00FE74CC"/>
    <w:rsid w:val="00FF00C2"/>
    <w:rsid w:val="00FF061E"/>
    <w:rsid w:val="00FF10F0"/>
    <w:rsid w:val="00FF2003"/>
    <w:rsid w:val="00FF49B3"/>
    <w:rsid w:val="00FF4A72"/>
    <w:rsid w:val="00FF6264"/>
    <w:rsid w:val="00FF67B6"/>
    <w:rsid w:val="00FF7B91"/>
    <w:rsid w:val="01013B2A"/>
    <w:rsid w:val="0125469F"/>
    <w:rsid w:val="028D5726"/>
    <w:rsid w:val="03784A23"/>
    <w:rsid w:val="038A4BBF"/>
    <w:rsid w:val="04180A76"/>
    <w:rsid w:val="04DE0411"/>
    <w:rsid w:val="050D0596"/>
    <w:rsid w:val="05C96980"/>
    <w:rsid w:val="06300C9E"/>
    <w:rsid w:val="068D3002"/>
    <w:rsid w:val="06C8229F"/>
    <w:rsid w:val="07645C1A"/>
    <w:rsid w:val="08210F30"/>
    <w:rsid w:val="082B3DAF"/>
    <w:rsid w:val="08A21DBC"/>
    <w:rsid w:val="08D47CBF"/>
    <w:rsid w:val="08FB3044"/>
    <w:rsid w:val="093F31F6"/>
    <w:rsid w:val="09466778"/>
    <w:rsid w:val="09CC5355"/>
    <w:rsid w:val="09DC345D"/>
    <w:rsid w:val="0A511C40"/>
    <w:rsid w:val="0A7D21F3"/>
    <w:rsid w:val="0AF069E8"/>
    <w:rsid w:val="0B456DCC"/>
    <w:rsid w:val="0B835FE9"/>
    <w:rsid w:val="0C7C763D"/>
    <w:rsid w:val="0C8B0069"/>
    <w:rsid w:val="0C9C2862"/>
    <w:rsid w:val="0CC67951"/>
    <w:rsid w:val="0CE2173E"/>
    <w:rsid w:val="0D0B608B"/>
    <w:rsid w:val="0E7A185F"/>
    <w:rsid w:val="0EC362D4"/>
    <w:rsid w:val="0F797C4F"/>
    <w:rsid w:val="0F8A78CA"/>
    <w:rsid w:val="0FD87732"/>
    <w:rsid w:val="10017906"/>
    <w:rsid w:val="100952E4"/>
    <w:rsid w:val="101D3795"/>
    <w:rsid w:val="101D684F"/>
    <w:rsid w:val="109D4FFD"/>
    <w:rsid w:val="10A535EC"/>
    <w:rsid w:val="116B40C7"/>
    <w:rsid w:val="116F4828"/>
    <w:rsid w:val="11DA5265"/>
    <w:rsid w:val="128137F9"/>
    <w:rsid w:val="128E6699"/>
    <w:rsid w:val="12CA7231"/>
    <w:rsid w:val="13607D09"/>
    <w:rsid w:val="13DE4870"/>
    <w:rsid w:val="144E63B2"/>
    <w:rsid w:val="1469075C"/>
    <w:rsid w:val="150727BF"/>
    <w:rsid w:val="1587595B"/>
    <w:rsid w:val="162B0991"/>
    <w:rsid w:val="16974E30"/>
    <w:rsid w:val="17085114"/>
    <w:rsid w:val="17D34BB2"/>
    <w:rsid w:val="17E766BC"/>
    <w:rsid w:val="17F705A0"/>
    <w:rsid w:val="18872011"/>
    <w:rsid w:val="189377C3"/>
    <w:rsid w:val="1894615A"/>
    <w:rsid w:val="19166481"/>
    <w:rsid w:val="19662336"/>
    <w:rsid w:val="19BE0402"/>
    <w:rsid w:val="19D70174"/>
    <w:rsid w:val="19EA1C92"/>
    <w:rsid w:val="19F907BE"/>
    <w:rsid w:val="1A773F11"/>
    <w:rsid w:val="1AB017D9"/>
    <w:rsid w:val="1AC95DDF"/>
    <w:rsid w:val="1B1C24FE"/>
    <w:rsid w:val="1B484DD5"/>
    <w:rsid w:val="1B742ED1"/>
    <w:rsid w:val="1BF54DA7"/>
    <w:rsid w:val="1C3F6AB4"/>
    <w:rsid w:val="1D114BE6"/>
    <w:rsid w:val="1D456791"/>
    <w:rsid w:val="1D994852"/>
    <w:rsid w:val="1E140F28"/>
    <w:rsid w:val="1E24197F"/>
    <w:rsid w:val="1E612B7A"/>
    <w:rsid w:val="1EFE0CFF"/>
    <w:rsid w:val="1EFE612B"/>
    <w:rsid w:val="1F0B4941"/>
    <w:rsid w:val="1F337FAD"/>
    <w:rsid w:val="1F4E05A2"/>
    <w:rsid w:val="1FB239A9"/>
    <w:rsid w:val="20254C39"/>
    <w:rsid w:val="20AF1C07"/>
    <w:rsid w:val="21C65C33"/>
    <w:rsid w:val="220A2A23"/>
    <w:rsid w:val="22161DCF"/>
    <w:rsid w:val="22C4074A"/>
    <w:rsid w:val="23004B6D"/>
    <w:rsid w:val="230C4ABF"/>
    <w:rsid w:val="23662F2F"/>
    <w:rsid w:val="242A467B"/>
    <w:rsid w:val="24A83A4A"/>
    <w:rsid w:val="24E94EDB"/>
    <w:rsid w:val="25B82D39"/>
    <w:rsid w:val="25E91FFA"/>
    <w:rsid w:val="25EB22BD"/>
    <w:rsid w:val="26A61384"/>
    <w:rsid w:val="26C660FB"/>
    <w:rsid w:val="273E790B"/>
    <w:rsid w:val="27536474"/>
    <w:rsid w:val="27734201"/>
    <w:rsid w:val="286976B0"/>
    <w:rsid w:val="28A37A18"/>
    <w:rsid w:val="28E96752"/>
    <w:rsid w:val="2917074C"/>
    <w:rsid w:val="29D91902"/>
    <w:rsid w:val="2A1C7AF7"/>
    <w:rsid w:val="2A1E4C67"/>
    <w:rsid w:val="2A401A7F"/>
    <w:rsid w:val="2A466BA0"/>
    <w:rsid w:val="2B413693"/>
    <w:rsid w:val="2C5502C8"/>
    <w:rsid w:val="2C9658FD"/>
    <w:rsid w:val="2DD016DF"/>
    <w:rsid w:val="2E053421"/>
    <w:rsid w:val="2E340869"/>
    <w:rsid w:val="2E824F36"/>
    <w:rsid w:val="2E8760A0"/>
    <w:rsid w:val="2ED347C1"/>
    <w:rsid w:val="2F1744C4"/>
    <w:rsid w:val="2F3D11B6"/>
    <w:rsid w:val="2F651865"/>
    <w:rsid w:val="2F81141F"/>
    <w:rsid w:val="2FB45C8A"/>
    <w:rsid w:val="2FEF2468"/>
    <w:rsid w:val="30032DFB"/>
    <w:rsid w:val="30D82B87"/>
    <w:rsid w:val="311C515C"/>
    <w:rsid w:val="3131271F"/>
    <w:rsid w:val="31727B84"/>
    <w:rsid w:val="31803EB2"/>
    <w:rsid w:val="31D32368"/>
    <w:rsid w:val="324F5B56"/>
    <w:rsid w:val="325F4ADC"/>
    <w:rsid w:val="32965B26"/>
    <w:rsid w:val="33A159E1"/>
    <w:rsid w:val="33AC48BD"/>
    <w:rsid w:val="33CD6FF2"/>
    <w:rsid w:val="33E2131F"/>
    <w:rsid w:val="33FA78F1"/>
    <w:rsid w:val="34733E89"/>
    <w:rsid w:val="34C34FAC"/>
    <w:rsid w:val="34C604C7"/>
    <w:rsid w:val="35864961"/>
    <w:rsid w:val="35B169EE"/>
    <w:rsid w:val="35E82C47"/>
    <w:rsid w:val="36376C75"/>
    <w:rsid w:val="369B56A4"/>
    <w:rsid w:val="36EF2E68"/>
    <w:rsid w:val="373A79F6"/>
    <w:rsid w:val="374779F0"/>
    <w:rsid w:val="37511062"/>
    <w:rsid w:val="378B2EC3"/>
    <w:rsid w:val="38143BFF"/>
    <w:rsid w:val="38235F70"/>
    <w:rsid w:val="38387973"/>
    <w:rsid w:val="38444302"/>
    <w:rsid w:val="388A0953"/>
    <w:rsid w:val="391A566C"/>
    <w:rsid w:val="39347276"/>
    <w:rsid w:val="39435E71"/>
    <w:rsid w:val="39911E1A"/>
    <w:rsid w:val="39EE1C3E"/>
    <w:rsid w:val="3A25289B"/>
    <w:rsid w:val="3A4419C2"/>
    <w:rsid w:val="3A6035B5"/>
    <w:rsid w:val="3A7304CD"/>
    <w:rsid w:val="3AF73840"/>
    <w:rsid w:val="3B9D409E"/>
    <w:rsid w:val="3BD37BFD"/>
    <w:rsid w:val="3BDC229E"/>
    <w:rsid w:val="3C944273"/>
    <w:rsid w:val="3CAA019E"/>
    <w:rsid w:val="3CAB79BE"/>
    <w:rsid w:val="3CBD3A49"/>
    <w:rsid w:val="3CC315B8"/>
    <w:rsid w:val="3CF5684E"/>
    <w:rsid w:val="3D454CDD"/>
    <w:rsid w:val="3D574D21"/>
    <w:rsid w:val="3DF30F84"/>
    <w:rsid w:val="3DF86A99"/>
    <w:rsid w:val="3E121FF6"/>
    <w:rsid w:val="3E2C664D"/>
    <w:rsid w:val="3E3D7109"/>
    <w:rsid w:val="3E70113E"/>
    <w:rsid w:val="3E840D6B"/>
    <w:rsid w:val="3ED22D82"/>
    <w:rsid w:val="3F15318F"/>
    <w:rsid w:val="3F365293"/>
    <w:rsid w:val="4011731B"/>
    <w:rsid w:val="40270B21"/>
    <w:rsid w:val="40404234"/>
    <w:rsid w:val="4056768D"/>
    <w:rsid w:val="407D107D"/>
    <w:rsid w:val="40B521EB"/>
    <w:rsid w:val="40DF4951"/>
    <w:rsid w:val="40F215D8"/>
    <w:rsid w:val="41612F0C"/>
    <w:rsid w:val="41C5532C"/>
    <w:rsid w:val="41C809D3"/>
    <w:rsid w:val="41D84E05"/>
    <w:rsid w:val="42973107"/>
    <w:rsid w:val="436B062A"/>
    <w:rsid w:val="440247BE"/>
    <w:rsid w:val="44960044"/>
    <w:rsid w:val="44C20D32"/>
    <w:rsid w:val="44C90BE4"/>
    <w:rsid w:val="45347DED"/>
    <w:rsid w:val="458763E7"/>
    <w:rsid w:val="45C256F5"/>
    <w:rsid w:val="45F20DA3"/>
    <w:rsid w:val="469E61D2"/>
    <w:rsid w:val="46AD4ED6"/>
    <w:rsid w:val="46FE38E4"/>
    <w:rsid w:val="478E3CD0"/>
    <w:rsid w:val="47C86CAC"/>
    <w:rsid w:val="485C3DB0"/>
    <w:rsid w:val="493A2423"/>
    <w:rsid w:val="4965039D"/>
    <w:rsid w:val="496D5260"/>
    <w:rsid w:val="49ED4D2E"/>
    <w:rsid w:val="4A0D2F51"/>
    <w:rsid w:val="4AF33E56"/>
    <w:rsid w:val="4B0559D0"/>
    <w:rsid w:val="4B1305CD"/>
    <w:rsid w:val="4BF020CB"/>
    <w:rsid w:val="4C0F0924"/>
    <w:rsid w:val="4C4D5685"/>
    <w:rsid w:val="4C740EAE"/>
    <w:rsid w:val="4D05573B"/>
    <w:rsid w:val="4D122E25"/>
    <w:rsid w:val="4E2B1085"/>
    <w:rsid w:val="4EA33B69"/>
    <w:rsid w:val="4EE13833"/>
    <w:rsid w:val="4EF732E8"/>
    <w:rsid w:val="4F2E3BB1"/>
    <w:rsid w:val="4FD80EFD"/>
    <w:rsid w:val="4FDF16C5"/>
    <w:rsid w:val="50123394"/>
    <w:rsid w:val="50183FB2"/>
    <w:rsid w:val="502551EA"/>
    <w:rsid w:val="502B5B5A"/>
    <w:rsid w:val="504E5099"/>
    <w:rsid w:val="50570B2F"/>
    <w:rsid w:val="506757C9"/>
    <w:rsid w:val="50D9493F"/>
    <w:rsid w:val="513800A8"/>
    <w:rsid w:val="51E11D1B"/>
    <w:rsid w:val="52383E2C"/>
    <w:rsid w:val="526D2262"/>
    <w:rsid w:val="534C3EF0"/>
    <w:rsid w:val="543C5974"/>
    <w:rsid w:val="54887337"/>
    <w:rsid w:val="549A2675"/>
    <w:rsid w:val="555665E9"/>
    <w:rsid w:val="55667B7B"/>
    <w:rsid w:val="55A455DF"/>
    <w:rsid w:val="562E05D8"/>
    <w:rsid w:val="564678BB"/>
    <w:rsid w:val="568A5F8C"/>
    <w:rsid w:val="57371F6A"/>
    <w:rsid w:val="574F678C"/>
    <w:rsid w:val="57B82EC4"/>
    <w:rsid w:val="57C311ED"/>
    <w:rsid w:val="57C85A86"/>
    <w:rsid w:val="580379D8"/>
    <w:rsid w:val="582A5B9C"/>
    <w:rsid w:val="584C34E0"/>
    <w:rsid w:val="58744419"/>
    <w:rsid w:val="594445CF"/>
    <w:rsid w:val="5959572A"/>
    <w:rsid w:val="59C72E4A"/>
    <w:rsid w:val="59D17A97"/>
    <w:rsid w:val="59E11240"/>
    <w:rsid w:val="5ADD0704"/>
    <w:rsid w:val="5B4237EC"/>
    <w:rsid w:val="5B481908"/>
    <w:rsid w:val="5B9D5AD5"/>
    <w:rsid w:val="5BB16509"/>
    <w:rsid w:val="5BCE5C69"/>
    <w:rsid w:val="5BD93F79"/>
    <w:rsid w:val="5BFE1B35"/>
    <w:rsid w:val="5C325D48"/>
    <w:rsid w:val="5CF361D4"/>
    <w:rsid w:val="5DA47F84"/>
    <w:rsid w:val="5E6B3500"/>
    <w:rsid w:val="5E775E65"/>
    <w:rsid w:val="5E852E63"/>
    <w:rsid w:val="5EE00607"/>
    <w:rsid w:val="5F700826"/>
    <w:rsid w:val="5F9D5404"/>
    <w:rsid w:val="5FA07C34"/>
    <w:rsid w:val="609C5976"/>
    <w:rsid w:val="60CD381B"/>
    <w:rsid w:val="60F9322D"/>
    <w:rsid w:val="614C3B83"/>
    <w:rsid w:val="619A3AC9"/>
    <w:rsid w:val="62A87FAE"/>
    <w:rsid w:val="630131CE"/>
    <w:rsid w:val="63021E17"/>
    <w:rsid w:val="6315750E"/>
    <w:rsid w:val="64003296"/>
    <w:rsid w:val="641F7A37"/>
    <w:rsid w:val="642D3267"/>
    <w:rsid w:val="646D6E23"/>
    <w:rsid w:val="64C94312"/>
    <w:rsid w:val="64F67E2B"/>
    <w:rsid w:val="65445189"/>
    <w:rsid w:val="65633D5E"/>
    <w:rsid w:val="65CC6AEC"/>
    <w:rsid w:val="65FE09DD"/>
    <w:rsid w:val="66B20136"/>
    <w:rsid w:val="66D938A1"/>
    <w:rsid w:val="66F05B73"/>
    <w:rsid w:val="692E64D0"/>
    <w:rsid w:val="6A012B8E"/>
    <w:rsid w:val="6A450719"/>
    <w:rsid w:val="6A8B1F49"/>
    <w:rsid w:val="6B58678E"/>
    <w:rsid w:val="6B6A3A15"/>
    <w:rsid w:val="6B7B1AB7"/>
    <w:rsid w:val="6B915D5B"/>
    <w:rsid w:val="6C154159"/>
    <w:rsid w:val="6C6B015B"/>
    <w:rsid w:val="6C943C5B"/>
    <w:rsid w:val="6D520F6D"/>
    <w:rsid w:val="6D7C7E63"/>
    <w:rsid w:val="6DE17EC9"/>
    <w:rsid w:val="6DF93CA4"/>
    <w:rsid w:val="6EB106D2"/>
    <w:rsid w:val="6EC15F98"/>
    <w:rsid w:val="6F222BB1"/>
    <w:rsid w:val="6F817428"/>
    <w:rsid w:val="701C0552"/>
    <w:rsid w:val="704F46F1"/>
    <w:rsid w:val="70E935B2"/>
    <w:rsid w:val="71404DA1"/>
    <w:rsid w:val="716D54EF"/>
    <w:rsid w:val="71936E22"/>
    <w:rsid w:val="72D51DF4"/>
    <w:rsid w:val="730A60BD"/>
    <w:rsid w:val="73187030"/>
    <w:rsid w:val="73836918"/>
    <w:rsid w:val="73F42027"/>
    <w:rsid w:val="74105D22"/>
    <w:rsid w:val="7424185E"/>
    <w:rsid w:val="74274D40"/>
    <w:rsid w:val="745C05A1"/>
    <w:rsid w:val="7480073A"/>
    <w:rsid w:val="74C77819"/>
    <w:rsid w:val="7523591F"/>
    <w:rsid w:val="753C5D09"/>
    <w:rsid w:val="756F2DF9"/>
    <w:rsid w:val="759169E8"/>
    <w:rsid w:val="76905311"/>
    <w:rsid w:val="76AD75DB"/>
    <w:rsid w:val="77AA3023"/>
    <w:rsid w:val="77CB2B77"/>
    <w:rsid w:val="78232A6E"/>
    <w:rsid w:val="78474726"/>
    <w:rsid w:val="78474F3C"/>
    <w:rsid w:val="78C6713D"/>
    <w:rsid w:val="78CB64F3"/>
    <w:rsid w:val="79141E7B"/>
    <w:rsid w:val="792F5BB2"/>
    <w:rsid w:val="79FA072C"/>
    <w:rsid w:val="7A854B09"/>
    <w:rsid w:val="7A8F5813"/>
    <w:rsid w:val="7AFD383A"/>
    <w:rsid w:val="7CAD1241"/>
    <w:rsid w:val="7D3A786A"/>
    <w:rsid w:val="7D732973"/>
    <w:rsid w:val="7D7A7C29"/>
    <w:rsid w:val="7D800093"/>
    <w:rsid w:val="7E90099A"/>
    <w:rsid w:val="7EBE1B4C"/>
    <w:rsid w:val="7F6E242C"/>
    <w:rsid w:val="7F8B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44628A"/>
  <w15:docId w15:val="{66369FF1-CF25-459F-83FC-9523F61C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楷体" w:cstheme="minorBidi"/>
      <w:kern w:val="2"/>
      <w:sz w:val="21"/>
      <w:szCs w:val="22"/>
    </w:rPr>
  </w:style>
  <w:style w:type="paragraph" w:styleId="1">
    <w:name w:val="heading 1"/>
    <w:next w:val="2"/>
    <w:link w:val="10"/>
    <w:qFormat/>
    <w:pPr>
      <w:keepNext/>
      <w:adjustRightInd w:val="0"/>
      <w:snapToGrid w:val="0"/>
      <w:spacing w:beforeLines="50" w:before="50" w:after="10"/>
      <w:outlineLvl w:val="0"/>
    </w:pPr>
    <w:rPr>
      <w:rFonts w:eastAsia="楷体"/>
      <w:b/>
      <w:color w:val="000080"/>
      <w:kern w:val="28"/>
      <w:sz w:val="40"/>
      <w:lang w:eastAsia="zh-TW"/>
    </w:rPr>
  </w:style>
  <w:style w:type="paragraph" w:styleId="20">
    <w:name w:val="heading 2"/>
    <w:basedOn w:val="a"/>
    <w:next w:val="a"/>
    <w:link w:val="21"/>
    <w:uiPriority w:val="9"/>
    <w:unhideWhenUsed/>
    <w:qFormat/>
    <w:pPr>
      <w:keepNext/>
      <w:keepLines/>
      <w:spacing w:before="10" w:after="10"/>
      <w:outlineLvl w:val="1"/>
    </w:pPr>
    <w:rPr>
      <w:rFonts w:cstheme="majorBidi"/>
      <w:b/>
      <w:bCs/>
      <w:color w:val="000080"/>
      <w:sz w:val="28"/>
      <w:szCs w:val="32"/>
    </w:rPr>
  </w:style>
  <w:style w:type="paragraph" w:styleId="3">
    <w:name w:val="heading 3"/>
    <w:basedOn w:val="a"/>
    <w:next w:val="a"/>
    <w:link w:val="30"/>
    <w:qFormat/>
    <w:pPr>
      <w:keepNext/>
      <w:widowControl/>
      <w:spacing w:before="120" w:after="120"/>
      <w:ind w:leftChars="1030" w:left="2266"/>
      <w:outlineLvl w:val="2"/>
    </w:pPr>
    <w:rPr>
      <w:rFonts w:ascii="Helvetica" w:eastAsia="PMingLiU" w:hAnsi="Helvetica" w:cs="Times New Roman"/>
      <w:b/>
      <w:color w:val="000080"/>
      <w:kern w:val="0"/>
      <w:sz w:val="24"/>
      <w:szCs w:val="20"/>
      <w:lang w:eastAsia="zh-TW"/>
    </w:rPr>
  </w:style>
  <w:style w:type="paragraph" w:styleId="4">
    <w:name w:val="heading 4"/>
    <w:basedOn w:val="a"/>
    <w:next w:val="a"/>
    <w:link w:val="40"/>
    <w:qFormat/>
    <w:pPr>
      <w:keepNext/>
      <w:widowControl/>
      <w:spacing w:before="240" w:after="60"/>
      <w:outlineLvl w:val="3"/>
    </w:pPr>
    <w:rPr>
      <w:rFonts w:ascii="Arial" w:eastAsia="PMingLiU" w:hAnsi="Arial" w:cs="Times New Roman"/>
      <w:b/>
      <w:kern w:val="0"/>
      <w:sz w:val="24"/>
      <w:szCs w:val="20"/>
      <w:lang w:val="en-GB"/>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9">
    <w:name w:val="heading 9"/>
    <w:basedOn w:val="a"/>
    <w:next w:val="a"/>
    <w:link w:val="90"/>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TOC7">
    <w:name w:val="toc 7"/>
    <w:basedOn w:val="a"/>
    <w:next w:val="a"/>
    <w:uiPriority w:val="39"/>
    <w:unhideWhenUsed/>
    <w:qFormat/>
    <w:pPr>
      <w:ind w:left="1260"/>
      <w:jc w:val="left"/>
    </w:pPr>
    <w:rPr>
      <w:rFonts w:cstheme="minorHAnsi"/>
      <w:sz w:val="18"/>
      <w:szCs w:val="18"/>
    </w:rPr>
  </w:style>
  <w:style w:type="paragraph" w:styleId="TOC5">
    <w:name w:val="toc 5"/>
    <w:basedOn w:val="a"/>
    <w:next w:val="a"/>
    <w:uiPriority w:val="39"/>
    <w:unhideWhenUsed/>
    <w:qFormat/>
    <w:pPr>
      <w:ind w:left="840"/>
      <w:jc w:val="left"/>
    </w:pPr>
    <w:rPr>
      <w:rFonts w:cstheme="minorHAnsi"/>
      <w:sz w:val="18"/>
      <w:szCs w:val="18"/>
    </w:rPr>
  </w:style>
  <w:style w:type="paragraph" w:styleId="TOC3">
    <w:name w:val="toc 3"/>
    <w:basedOn w:val="a"/>
    <w:next w:val="a"/>
    <w:uiPriority w:val="39"/>
    <w:qFormat/>
    <w:pPr>
      <w:ind w:left="420"/>
      <w:jc w:val="left"/>
    </w:pPr>
    <w:rPr>
      <w:rFonts w:cstheme="minorHAnsi"/>
      <w:i/>
      <w:iCs/>
      <w:sz w:val="20"/>
      <w:szCs w:val="20"/>
    </w:rPr>
  </w:style>
  <w:style w:type="paragraph" w:styleId="TOC8">
    <w:name w:val="toc 8"/>
    <w:basedOn w:val="a"/>
    <w:next w:val="a"/>
    <w:uiPriority w:val="39"/>
    <w:unhideWhenUsed/>
    <w:qFormat/>
    <w:pPr>
      <w:ind w:left="1470"/>
      <w:jc w:val="left"/>
    </w:pPr>
    <w:rPr>
      <w:rFonts w:cstheme="minorHAnsi"/>
      <w:sz w:val="18"/>
      <w:szCs w:val="1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link w:val="TOC10"/>
    <w:uiPriority w:val="39"/>
    <w:qFormat/>
    <w:pPr>
      <w:tabs>
        <w:tab w:val="right" w:leader="hyphen" w:pos="9736"/>
      </w:tabs>
      <w:spacing w:before="120" w:after="120"/>
      <w:jc w:val="left"/>
    </w:pPr>
    <w:rPr>
      <w:rFonts w:cstheme="minorHAnsi"/>
      <w:b/>
      <w:bCs/>
      <w:caps/>
      <w:color w:val="000000" w:themeColor="text1"/>
      <w:kern w:val="0"/>
      <w:sz w:val="22"/>
    </w:rPr>
  </w:style>
  <w:style w:type="paragraph" w:styleId="TOC4">
    <w:name w:val="toc 4"/>
    <w:basedOn w:val="a"/>
    <w:next w:val="a"/>
    <w:uiPriority w:val="39"/>
    <w:unhideWhenUsed/>
    <w:qFormat/>
    <w:pPr>
      <w:ind w:left="630"/>
      <w:jc w:val="left"/>
    </w:pPr>
    <w:rPr>
      <w:rFonts w:cstheme="minorHAnsi"/>
      <w:sz w:val="18"/>
      <w:szCs w:val="18"/>
    </w:rPr>
  </w:style>
  <w:style w:type="paragraph" w:styleId="TOC6">
    <w:name w:val="toc 6"/>
    <w:basedOn w:val="a"/>
    <w:next w:val="a"/>
    <w:uiPriority w:val="39"/>
    <w:unhideWhenUsed/>
    <w:qFormat/>
    <w:pPr>
      <w:ind w:left="1050"/>
      <w:jc w:val="left"/>
    </w:pPr>
    <w:rPr>
      <w:rFonts w:cstheme="minorHAnsi"/>
      <w:sz w:val="18"/>
      <w:szCs w:val="18"/>
    </w:rPr>
  </w:style>
  <w:style w:type="paragraph" w:styleId="TOC2">
    <w:name w:val="toc 2"/>
    <w:basedOn w:val="a"/>
    <w:next w:val="a"/>
    <w:uiPriority w:val="39"/>
    <w:unhideWhenUsed/>
    <w:qFormat/>
    <w:pPr>
      <w:ind w:left="210"/>
      <w:jc w:val="left"/>
    </w:pPr>
    <w:rPr>
      <w:rFonts w:cstheme="minorHAnsi"/>
      <w:smallCaps/>
      <w:sz w:val="20"/>
      <w:szCs w:val="20"/>
    </w:rPr>
  </w:style>
  <w:style w:type="paragraph" w:styleId="TOC9">
    <w:name w:val="toc 9"/>
    <w:basedOn w:val="a"/>
    <w:next w:val="a"/>
    <w:uiPriority w:val="39"/>
    <w:unhideWhenUsed/>
    <w:qFormat/>
    <w:pPr>
      <w:ind w:left="1680"/>
      <w:jc w:val="left"/>
    </w:pPr>
    <w:rPr>
      <w:rFonts w:cstheme="minorHAnsi"/>
      <w:sz w:val="18"/>
      <w:szCs w:val="18"/>
    </w:rPr>
  </w:style>
  <w:style w:type="paragraph" w:styleId="aa">
    <w:name w:val="Normal (Web)"/>
    <w:basedOn w:val="a"/>
    <w:uiPriority w:val="99"/>
    <w:semiHidden/>
    <w:unhideWhenUsed/>
    <w:qFormat/>
    <w:pPr>
      <w:spacing w:beforeAutospacing="1" w:afterAutospacing="1"/>
      <w:jc w:val="left"/>
    </w:pPr>
    <w:rPr>
      <w:rFonts w:cs="Times New Roman"/>
      <w:kern w:val="0"/>
      <w:sz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Shading Accent 5"/>
    <w:basedOn w:val="a1"/>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c">
    <w:name w:val="FollowedHyperlink"/>
    <w:basedOn w:val="a0"/>
    <w:uiPriority w:val="99"/>
    <w:semiHidden/>
    <w:unhideWhenUsed/>
    <w:qFormat/>
    <w:rPr>
      <w:color w:val="666666"/>
      <w:u w:val="none"/>
    </w:rPr>
  </w:style>
  <w:style w:type="character" w:styleId="ad">
    <w:name w:val="Emphasis"/>
    <w:basedOn w:val="a0"/>
    <w:uiPriority w:val="20"/>
    <w:qFormat/>
  </w:style>
  <w:style w:type="character" w:styleId="HTML">
    <w:name w:val="HTML Definition"/>
    <w:basedOn w:val="a0"/>
    <w:uiPriority w:val="99"/>
    <w:semiHidden/>
    <w:unhideWhenUsed/>
    <w:qFormat/>
  </w:style>
  <w:style w:type="character" w:styleId="HTML0">
    <w:name w:val="HTML Acronym"/>
    <w:basedOn w:val="a0"/>
    <w:uiPriority w:val="99"/>
    <w:semiHidden/>
    <w:unhideWhenUsed/>
    <w:qFormat/>
  </w:style>
  <w:style w:type="character" w:styleId="HTML1">
    <w:name w:val="HTML Variable"/>
    <w:basedOn w:val="a0"/>
    <w:uiPriority w:val="99"/>
    <w:semiHidden/>
    <w:unhideWhenUsed/>
    <w:qFormat/>
  </w:style>
  <w:style w:type="character" w:styleId="ae">
    <w:name w:val="Hyperlink"/>
    <w:basedOn w:val="a0"/>
    <w:uiPriority w:val="99"/>
    <w:qFormat/>
    <w:rPr>
      <w:color w:val="666666"/>
      <w:u w:val="none"/>
    </w:rPr>
  </w:style>
  <w:style w:type="character" w:styleId="HTML2">
    <w:name w:val="HTML Code"/>
    <w:basedOn w:val="a0"/>
    <w:uiPriority w:val="99"/>
    <w:semiHidden/>
    <w:unhideWhenUsed/>
    <w:qFormat/>
    <w:rPr>
      <w:rFonts w:ascii="Courier New" w:hAnsi="Courier New"/>
      <w:sz w:val="20"/>
    </w:rPr>
  </w:style>
  <w:style w:type="character" w:styleId="HTML3">
    <w:name w:val="HTML Cite"/>
    <w:basedOn w:val="a0"/>
    <w:uiPriority w:val="99"/>
    <w:semiHidden/>
    <w:unhideWhenUsed/>
    <w:qFormat/>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4Char">
    <w:name w:val="样式4 Char"/>
    <w:link w:val="41"/>
    <w:qFormat/>
    <w:rPr>
      <w:rFonts w:ascii="宋体" w:eastAsia="宋体" w:hAnsi="宋体"/>
      <w:b/>
      <w:color w:val="002060"/>
      <w:lang w:val="en-GB"/>
    </w:rPr>
  </w:style>
  <w:style w:type="paragraph" w:customStyle="1" w:styleId="41">
    <w:name w:val="样式4"/>
    <w:basedOn w:val="a"/>
    <w:link w:val="4Char"/>
    <w:qFormat/>
    <w:pPr>
      <w:widowControl/>
      <w:ind w:leftChars="-14" w:left="-10" w:hangingChars="12" w:hanging="24"/>
      <w:jc w:val="left"/>
    </w:pPr>
    <w:rPr>
      <w:rFonts w:ascii="宋体" w:eastAsia="宋体" w:hAnsi="宋体"/>
      <w:b/>
      <w:color w:val="002060"/>
      <w:lang w:val="en-GB"/>
    </w:rPr>
  </w:style>
  <w:style w:type="character" w:customStyle="1" w:styleId="a5">
    <w:name w:val="批注框文本 字符"/>
    <w:basedOn w:val="a0"/>
    <w:link w:val="a4"/>
    <w:uiPriority w:val="99"/>
    <w:semiHidden/>
    <w:qFormat/>
    <w:rPr>
      <w:sz w:val="18"/>
      <w:szCs w:val="18"/>
    </w:rPr>
  </w:style>
  <w:style w:type="paragraph" w:styleId="af">
    <w:name w:val="List Paragraph"/>
    <w:basedOn w:val="a"/>
    <w:uiPriority w:val="34"/>
    <w:qFormat/>
    <w:pPr>
      <w:ind w:firstLineChars="200" w:firstLine="420"/>
    </w:pPr>
  </w:style>
  <w:style w:type="paragraph" w:customStyle="1" w:styleId="af0">
    <w:name w:val="♡第一段（标题下）"/>
    <w:basedOn w:val="a"/>
    <w:qFormat/>
    <w:pPr>
      <w:widowControl/>
      <w:spacing w:afterLines="50" w:after="50" w:line="300" w:lineRule="auto"/>
    </w:pPr>
    <w:rPr>
      <w:rFonts w:cs="Times New Roman"/>
      <w:kern w:val="0"/>
      <w:sz w:val="22"/>
      <w:szCs w:val="21"/>
    </w:rPr>
  </w:style>
  <w:style w:type="character" w:customStyle="1" w:styleId="Char">
    <w:name w:val="二级标题 Char"/>
    <w:link w:val="af1"/>
    <w:qFormat/>
    <w:rPr>
      <w:rFonts w:ascii="Arial" w:eastAsia="汉仪中黑简" w:hAnsi="Arial" w:cs="Arial"/>
      <w:color w:val="004EA2"/>
      <w:sz w:val="22"/>
      <w:szCs w:val="20"/>
      <w:lang w:val="zh-CN"/>
    </w:rPr>
  </w:style>
  <w:style w:type="paragraph" w:customStyle="1" w:styleId="af1">
    <w:name w:val="二级标题"/>
    <w:basedOn w:val="a"/>
    <w:link w:val="Char"/>
    <w:qFormat/>
    <w:rPr>
      <w:rFonts w:ascii="Arial" w:eastAsia="汉仪中黑简" w:hAnsi="Arial" w:cs="Arial"/>
      <w:color w:val="004EA2"/>
      <w:sz w:val="22"/>
      <w:szCs w:val="20"/>
      <w:lang w:val="zh-CN"/>
    </w:rPr>
  </w:style>
  <w:style w:type="character" w:customStyle="1" w:styleId="10">
    <w:name w:val="标题 1 字符"/>
    <w:basedOn w:val="a0"/>
    <w:link w:val="1"/>
    <w:qFormat/>
    <w:rPr>
      <w:rFonts w:ascii="Times New Roman" w:eastAsia="楷体" w:hAnsi="Times New Roman" w:cs="Times New Roman"/>
      <w:b/>
      <w:color w:val="000080"/>
      <w:kern w:val="28"/>
      <w:sz w:val="40"/>
      <w:szCs w:val="20"/>
      <w:lang w:eastAsia="zh-TW"/>
    </w:rPr>
  </w:style>
  <w:style w:type="character" w:customStyle="1" w:styleId="30">
    <w:name w:val="标题 3 字符"/>
    <w:basedOn w:val="a0"/>
    <w:link w:val="3"/>
    <w:qFormat/>
    <w:rPr>
      <w:rFonts w:ascii="Helvetica" w:eastAsia="PMingLiU" w:hAnsi="Helvetica" w:cs="Times New Roman"/>
      <w:b/>
      <w:color w:val="000080"/>
      <w:kern w:val="0"/>
      <w:sz w:val="24"/>
      <w:szCs w:val="20"/>
      <w:lang w:eastAsia="zh-TW"/>
    </w:rPr>
  </w:style>
  <w:style w:type="character" w:customStyle="1" w:styleId="40">
    <w:name w:val="标题 4 字符"/>
    <w:basedOn w:val="a0"/>
    <w:link w:val="4"/>
    <w:qFormat/>
    <w:rPr>
      <w:rFonts w:ascii="Arial" w:eastAsia="PMingLiU" w:hAnsi="Arial" w:cs="Times New Roman"/>
      <w:b/>
      <w:kern w:val="0"/>
      <w:sz w:val="24"/>
      <w:szCs w:val="20"/>
      <w:lang w:val="en-GB"/>
    </w:rPr>
  </w:style>
  <w:style w:type="paragraph" w:customStyle="1" w:styleId="Title2-Sub-section">
    <w:name w:val="Title 2 - Sub-section"/>
    <w:basedOn w:val="a"/>
    <w:next w:val="a"/>
    <w:qFormat/>
    <w:pPr>
      <w:widowControl/>
      <w:snapToGrid w:val="0"/>
      <w:spacing w:beforeLines="50" w:before="50" w:afterLines="50" w:after="50"/>
      <w:ind w:leftChars="1150" w:left="1150"/>
      <w:jc w:val="left"/>
    </w:pPr>
    <w:rPr>
      <w:rFonts w:ascii="Arial" w:eastAsia="新宋体" w:hAnsi="Arial" w:cs="Times New Roman"/>
      <w:b/>
      <w:color w:val="000080"/>
      <w:kern w:val="0"/>
      <w:sz w:val="28"/>
      <w:szCs w:val="20"/>
      <w:lang w:eastAsia="zh-TW"/>
    </w:rPr>
  </w:style>
  <w:style w:type="paragraph" w:customStyle="1" w:styleId="af2">
    <w:name w:val="表目录"/>
    <w:basedOn w:val="a"/>
    <w:link w:val="af3"/>
    <w:qFormat/>
    <w:pPr>
      <w:snapToGrid w:val="0"/>
      <w:jc w:val="left"/>
    </w:pPr>
    <w:rPr>
      <w:rFonts w:cs="Times New Roman"/>
      <w:b/>
      <w:color w:val="000000"/>
      <w:szCs w:val="24"/>
    </w:rPr>
  </w:style>
  <w:style w:type="paragraph" w:customStyle="1" w:styleId="af4">
    <w:name w:val="文章正文"/>
    <w:link w:val="af5"/>
    <w:qFormat/>
    <w:pPr>
      <w:spacing w:beforeLines="50" w:before="50" w:afterLines="50" w:after="50" w:line="300" w:lineRule="auto"/>
    </w:pPr>
    <w:rPr>
      <w:rFonts w:eastAsia="楷体"/>
      <w:sz w:val="22"/>
    </w:rPr>
  </w:style>
  <w:style w:type="paragraph" w:customStyle="1" w:styleId="af6">
    <w:name w:val="资料来源"/>
    <w:link w:val="Char0"/>
    <w:qFormat/>
    <w:rPr>
      <w:rFonts w:eastAsia="楷体"/>
      <w:i/>
      <w:sz w:val="16"/>
    </w:rPr>
  </w:style>
  <w:style w:type="paragraph" w:customStyle="1" w:styleId="WPSOffice3">
    <w:name w:val="WPSOffice手动目录 3"/>
    <w:qFormat/>
    <w:pPr>
      <w:ind w:leftChars="400" w:left="400"/>
    </w:pPr>
  </w:style>
  <w:style w:type="character" w:customStyle="1" w:styleId="21">
    <w:name w:val="标题 2 字符"/>
    <w:basedOn w:val="a0"/>
    <w:link w:val="20"/>
    <w:uiPriority w:val="9"/>
    <w:qFormat/>
    <w:rPr>
      <w:rFonts w:ascii="Times New Roman" w:eastAsia="楷体" w:hAnsi="Times New Roman" w:cstheme="majorBidi"/>
      <w:b/>
      <w:bCs/>
      <w:color w:val="000080"/>
      <w:kern w:val="2"/>
      <w:sz w:val="28"/>
      <w:szCs w:val="32"/>
    </w:rPr>
  </w:style>
  <w:style w:type="character" w:customStyle="1" w:styleId="90">
    <w:name w:val="标题 9 字符"/>
    <w:basedOn w:val="a0"/>
    <w:link w:val="9"/>
    <w:uiPriority w:val="9"/>
    <w:semiHidden/>
    <w:qFormat/>
    <w:rPr>
      <w:rFonts w:asciiTheme="majorHAnsi" w:eastAsiaTheme="majorEastAsia" w:hAnsiTheme="majorHAnsi" w:cstheme="majorBidi"/>
      <w:kern w:val="2"/>
      <w:sz w:val="21"/>
      <w:szCs w:val="21"/>
    </w:rPr>
  </w:style>
  <w:style w:type="character" w:customStyle="1" w:styleId="50">
    <w:name w:val="标题 5 字符"/>
    <w:basedOn w:val="a0"/>
    <w:link w:val="5"/>
    <w:uiPriority w:val="9"/>
    <w:semiHidden/>
    <w:qFormat/>
    <w:rPr>
      <w:rFonts w:asciiTheme="minorHAnsi" w:eastAsiaTheme="minorEastAsia" w:hAnsiTheme="minorHAnsi" w:cstheme="minorBidi"/>
      <w:b/>
      <w:bCs/>
      <w:kern w:val="2"/>
      <w:sz w:val="28"/>
      <w:szCs w:val="28"/>
    </w:rPr>
  </w:style>
  <w:style w:type="character" w:customStyle="1" w:styleId="70">
    <w:name w:val="标题 7 字符"/>
    <w:basedOn w:val="a0"/>
    <w:link w:val="7"/>
    <w:uiPriority w:val="9"/>
    <w:semiHidden/>
    <w:qFormat/>
    <w:rPr>
      <w:rFonts w:asciiTheme="minorHAnsi" w:eastAsiaTheme="minorEastAsia" w:hAnsiTheme="minorHAnsi" w:cstheme="minorBidi"/>
      <w:b/>
      <w:bCs/>
      <w:kern w:val="2"/>
      <w:sz w:val="24"/>
      <w:szCs w:val="24"/>
    </w:rPr>
  </w:style>
  <w:style w:type="paragraph" w:customStyle="1" w:styleId="TOC11">
    <w:name w:val="TOC 标题1"/>
    <w:basedOn w:val="1"/>
    <w:next w:val="a"/>
    <w:uiPriority w:val="39"/>
    <w:unhideWhenUsed/>
    <w:qFormat/>
    <w:pPr>
      <w:keepLines/>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zh-CN"/>
    </w:rPr>
  </w:style>
  <w:style w:type="paragraph" w:customStyle="1" w:styleId="TOC20">
    <w:name w:val="TOC 标题2"/>
    <w:basedOn w:val="1"/>
    <w:next w:val="a"/>
    <w:uiPriority w:val="39"/>
    <w:semiHidden/>
    <w:unhideWhenUsed/>
    <w:qFormat/>
    <w:pPr>
      <w:keepLines/>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zh-CN"/>
    </w:rPr>
  </w:style>
  <w:style w:type="table" w:customStyle="1" w:styleId="2-11">
    <w:name w:val="网格表 2 - 着色 11"/>
    <w:basedOn w:val="a1"/>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71">
    <w:name w:val="font71"/>
    <w:basedOn w:val="a0"/>
    <w:qFormat/>
    <w:rPr>
      <w:rFonts w:ascii="楷体" w:eastAsia="楷体" w:hAnsi="楷体" w:cs="楷体" w:hint="eastAsia"/>
      <w:b/>
      <w:color w:val="44546A"/>
      <w:sz w:val="18"/>
      <w:szCs w:val="18"/>
      <w:u w:val="none"/>
    </w:rPr>
  </w:style>
  <w:style w:type="character" w:customStyle="1" w:styleId="font61">
    <w:name w:val="font61"/>
    <w:basedOn w:val="a0"/>
    <w:qFormat/>
    <w:rPr>
      <w:rFonts w:ascii="楷体_GB2312" w:eastAsia="楷体_GB2312" w:cs="楷体_GB2312" w:hint="eastAsia"/>
      <w:color w:val="000000"/>
      <w:sz w:val="18"/>
      <w:szCs w:val="18"/>
      <w:u w:val="none"/>
    </w:rPr>
  </w:style>
  <w:style w:type="character" w:customStyle="1" w:styleId="font31">
    <w:name w:val="font31"/>
    <w:basedOn w:val="a0"/>
    <w:qFormat/>
    <w:rPr>
      <w:rFonts w:ascii="Times New Roman" w:hAnsi="Times New Roman" w:cs="Times New Roman" w:hint="default"/>
      <w:color w:val="000000"/>
      <w:sz w:val="16"/>
      <w:szCs w:val="16"/>
      <w:u w:val="none"/>
    </w:rPr>
  </w:style>
  <w:style w:type="paragraph" w:customStyle="1" w:styleId="af7">
    <w:name w:val="图目录"/>
    <w:basedOn w:val="a"/>
    <w:link w:val="af8"/>
    <w:qFormat/>
    <w:pPr>
      <w:jc w:val="left"/>
    </w:pPr>
    <w:rPr>
      <w:b/>
      <w:bCs/>
      <w:szCs w:val="21"/>
    </w:rPr>
  </w:style>
  <w:style w:type="character" w:customStyle="1" w:styleId="Char0">
    <w:name w:val="资料来源 Char"/>
    <w:link w:val="af6"/>
    <w:qFormat/>
    <w:rPr>
      <w:rFonts w:ascii="Times New Roman" w:eastAsia="楷体" w:hAnsi="Times New Roman" w:cs="Times New Roman"/>
      <w:i/>
      <w:sz w:val="16"/>
      <w:lang w:val="en-US" w:eastAsia="zh-CN" w:bidi="ar-SA"/>
    </w:rPr>
  </w:style>
  <w:style w:type="paragraph" w:customStyle="1" w:styleId="WPSOffice1">
    <w:name w:val="WPSOffice手动目录 1"/>
    <w:qFormat/>
  </w:style>
  <w:style w:type="paragraph" w:customStyle="1" w:styleId="51">
    <w:name w:val="样式5"/>
    <w:basedOn w:val="a"/>
    <w:qFormat/>
    <w:rPr>
      <w:sz w:val="22"/>
    </w:rPr>
  </w:style>
  <w:style w:type="paragraph" w:customStyle="1" w:styleId="6">
    <w:name w:val="样式6"/>
    <w:basedOn w:val="TOC2"/>
    <w:qFormat/>
    <w:rPr>
      <w:sz w:val="21"/>
    </w:rPr>
  </w:style>
  <w:style w:type="paragraph" w:customStyle="1" w:styleId="71">
    <w:name w:val="样式7"/>
    <w:basedOn w:val="TOC1"/>
    <w:qFormat/>
    <w:rPr>
      <w:sz w:val="21"/>
    </w:rPr>
  </w:style>
  <w:style w:type="paragraph" w:customStyle="1" w:styleId="af9">
    <w:name w:val="♡资料来源"/>
    <w:basedOn w:val="af6"/>
    <w:link w:val="afa"/>
    <w:qFormat/>
  </w:style>
  <w:style w:type="paragraph" w:customStyle="1" w:styleId="-">
    <w:name w:val="♡图表-标题"/>
    <w:basedOn w:val="af7"/>
    <w:link w:val="-0"/>
    <w:qFormat/>
    <w:rPr>
      <w:bCs w:val="0"/>
    </w:rPr>
  </w:style>
  <w:style w:type="character" w:customStyle="1" w:styleId="afa">
    <w:name w:val="♡资料来源 字符"/>
    <w:basedOn w:val="Char0"/>
    <w:link w:val="af9"/>
    <w:qFormat/>
    <w:rPr>
      <w:rFonts w:ascii="Times New Roman" w:eastAsia="楷体" w:hAnsi="Times New Roman" w:cs="Times New Roman"/>
      <w:i/>
      <w:sz w:val="16"/>
      <w:lang w:val="en-US" w:eastAsia="zh-CN" w:bidi="ar-SA"/>
    </w:rPr>
  </w:style>
  <w:style w:type="paragraph" w:customStyle="1" w:styleId="31">
    <w:name w:val="标题3"/>
    <w:basedOn w:val="af2"/>
    <w:link w:val="32"/>
    <w:qFormat/>
    <w:rPr>
      <w:lang w:val="en-GB"/>
    </w:rPr>
  </w:style>
  <w:style w:type="character" w:customStyle="1" w:styleId="af8">
    <w:name w:val="图目录 字符"/>
    <w:basedOn w:val="a0"/>
    <w:link w:val="af7"/>
    <w:qFormat/>
    <w:rPr>
      <w:rFonts w:eastAsia="楷体" w:cstheme="minorBidi"/>
      <w:b/>
      <w:bCs/>
      <w:kern w:val="2"/>
      <w:sz w:val="21"/>
      <w:szCs w:val="21"/>
    </w:rPr>
  </w:style>
  <w:style w:type="character" w:customStyle="1" w:styleId="-0">
    <w:name w:val="♡图表-标题 字符"/>
    <w:basedOn w:val="af8"/>
    <w:link w:val="-"/>
    <w:qFormat/>
    <w:rPr>
      <w:rFonts w:eastAsia="楷体" w:cstheme="minorBidi"/>
      <w:b/>
      <w:bCs w:val="0"/>
      <w:kern w:val="2"/>
      <w:sz w:val="21"/>
      <w:szCs w:val="21"/>
    </w:rPr>
  </w:style>
  <w:style w:type="paragraph" w:customStyle="1" w:styleId="42">
    <w:name w:val="目录4"/>
    <w:basedOn w:val="TOC1"/>
    <w:link w:val="43"/>
    <w:qFormat/>
    <w:pPr>
      <w:tabs>
        <w:tab w:val="clear" w:pos="9736"/>
        <w:tab w:val="right" w:leader="dot" w:pos="9746"/>
      </w:tabs>
      <w:spacing w:line="300" w:lineRule="auto"/>
    </w:pPr>
    <w:rPr>
      <w:rFonts w:ascii="楷体" w:hAnsi="楷体" w:cs="楷体"/>
    </w:rPr>
  </w:style>
  <w:style w:type="character" w:customStyle="1" w:styleId="af3">
    <w:name w:val="表目录 字符"/>
    <w:basedOn w:val="a0"/>
    <w:link w:val="af2"/>
    <w:qFormat/>
    <w:rPr>
      <w:rFonts w:eastAsia="楷体"/>
      <w:b/>
      <w:color w:val="000000"/>
      <w:kern w:val="2"/>
      <w:sz w:val="21"/>
      <w:szCs w:val="24"/>
    </w:rPr>
  </w:style>
  <w:style w:type="character" w:customStyle="1" w:styleId="32">
    <w:name w:val="标题3 字符"/>
    <w:basedOn w:val="af3"/>
    <w:link w:val="31"/>
    <w:qFormat/>
    <w:rPr>
      <w:rFonts w:eastAsia="楷体"/>
      <w:b/>
      <w:color w:val="000000"/>
      <w:kern w:val="2"/>
      <w:sz w:val="21"/>
      <w:szCs w:val="24"/>
      <w:lang w:val="en-GB"/>
    </w:rPr>
  </w:style>
  <w:style w:type="paragraph" w:customStyle="1" w:styleId="22">
    <w:name w:val="目录2"/>
    <w:basedOn w:val="TOC1"/>
    <w:link w:val="23"/>
    <w:qFormat/>
    <w:pPr>
      <w:tabs>
        <w:tab w:val="clear" w:pos="9736"/>
        <w:tab w:val="right" w:leader="dot" w:pos="9746"/>
      </w:tabs>
    </w:pPr>
  </w:style>
  <w:style w:type="character" w:customStyle="1" w:styleId="TOC10">
    <w:name w:val="TOC 1 字符"/>
    <w:basedOn w:val="a0"/>
    <w:link w:val="TOC1"/>
    <w:uiPriority w:val="39"/>
    <w:qFormat/>
    <w:rPr>
      <w:rFonts w:eastAsia="楷体" w:cstheme="minorHAnsi"/>
      <w:b/>
      <w:bCs/>
      <w:caps/>
      <w:color w:val="000000" w:themeColor="text1"/>
      <w:sz w:val="22"/>
      <w:szCs w:val="22"/>
    </w:rPr>
  </w:style>
  <w:style w:type="character" w:customStyle="1" w:styleId="43">
    <w:name w:val="目录4 字符"/>
    <w:basedOn w:val="TOC10"/>
    <w:link w:val="42"/>
    <w:qFormat/>
    <w:rPr>
      <w:rFonts w:ascii="楷体" w:eastAsia="楷体" w:hAnsi="楷体" w:cs="楷体"/>
      <w:b/>
      <w:bCs/>
      <w:caps/>
      <w:color w:val="000000" w:themeColor="text1"/>
      <w:sz w:val="22"/>
      <w:szCs w:val="22"/>
    </w:rPr>
  </w:style>
  <w:style w:type="paragraph" w:customStyle="1" w:styleId="11">
    <w:name w:val="目录1"/>
    <w:basedOn w:val="TOC1"/>
    <w:link w:val="12"/>
    <w:qFormat/>
    <w:pPr>
      <w:tabs>
        <w:tab w:val="clear" w:pos="9736"/>
        <w:tab w:val="right" w:leader="dot" w:pos="9746"/>
      </w:tabs>
    </w:pPr>
    <w:rPr>
      <w:lang w:val="en-GB"/>
    </w:rPr>
  </w:style>
  <w:style w:type="character" w:customStyle="1" w:styleId="23">
    <w:name w:val="目录2 字符"/>
    <w:basedOn w:val="TOC10"/>
    <w:link w:val="22"/>
    <w:qFormat/>
    <w:rPr>
      <w:rFonts w:eastAsia="楷体" w:cstheme="minorHAnsi"/>
      <w:b/>
      <w:bCs/>
      <w:caps/>
      <w:color w:val="000000" w:themeColor="text1"/>
      <w:sz w:val="22"/>
      <w:szCs w:val="22"/>
    </w:rPr>
  </w:style>
  <w:style w:type="paragraph" w:customStyle="1" w:styleId="afb">
    <w:name w:val="♡第二段（正文下）"/>
    <w:basedOn w:val="af4"/>
    <w:link w:val="afc"/>
    <w:qFormat/>
    <w:pPr>
      <w:spacing w:before="156" w:after="156"/>
    </w:pPr>
  </w:style>
  <w:style w:type="character" w:customStyle="1" w:styleId="12">
    <w:name w:val="目录1 字符"/>
    <w:basedOn w:val="TOC10"/>
    <w:link w:val="11"/>
    <w:qFormat/>
    <w:rPr>
      <w:rFonts w:eastAsia="楷体" w:cstheme="minorHAnsi"/>
      <w:b/>
      <w:bCs/>
      <w:caps/>
      <w:color w:val="000000" w:themeColor="text1"/>
      <w:sz w:val="22"/>
      <w:szCs w:val="22"/>
      <w:lang w:val="en-GB"/>
    </w:rPr>
  </w:style>
  <w:style w:type="character" w:customStyle="1" w:styleId="af5">
    <w:name w:val="文章正文 字符"/>
    <w:basedOn w:val="a0"/>
    <w:link w:val="af4"/>
    <w:qFormat/>
    <w:rPr>
      <w:rFonts w:eastAsia="楷体"/>
      <w:sz w:val="22"/>
    </w:rPr>
  </w:style>
  <w:style w:type="character" w:customStyle="1" w:styleId="afc">
    <w:name w:val="♡第二段（正文下） 字符"/>
    <w:basedOn w:val="af5"/>
    <w:link w:val="afb"/>
    <w:qFormat/>
    <w:rPr>
      <w:rFonts w:eastAsia="楷体"/>
      <w:sz w:val="22"/>
    </w:rPr>
  </w:style>
  <w:style w:type="paragraph" w:customStyle="1" w:styleId="24">
    <w:name w:val="要点2"/>
    <w:basedOn w:val="afb"/>
    <w:link w:val="25"/>
    <w:qFormat/>
    <w:rPr>
      <w:b/>
      <w:bCs/>
    </w:rPr>
  </w:style>
  <w:style w:type="character" w:customStyle="1" w:styleId="25">
    <w:name w:val="要点2 字符"/>
    <w:basedOn w:val="afc"/>
    <w:link w:val="24"/>
    <w:qFormat/>
    <w:rPr>
      <w:rFonts w:eastAsia="楷体"/>
      <w:b/>
      <w:bCs/>
      <w:sz w:val="22"/>
    </w:rPr>
  </w:style>
  <w:style w:type="paragraph" w:customStyle="1" w:styleId="afd">
    <w:name w:val="♡ 标题"/>
    <w:basedOn w:val="af4"/>
    <w:link w:val="afe"/>
    <w:qFormat/>
    <w:pPr>
      <w:spacing w:beforeLines="0" w:before="0"/>
    </w:pPr>
    <w:rPr>
      <w:b/>
      <w:bCs/>
      <w:szCs w:val="21"/>
    </w:rPr>
  </w:style>
  <w:style w:type="character" w:customStyle="1" w:styleId="afe">
    <w:name w:val="♡ 标题 字符"/>
    <w:basedOn w:val="af5"/>
    <w:link w:val="afd"/>
    <w:qFormat/>
    <w:rPr>
      <w:rFonts w:eastAsia="楷体"/>
      <w:b/>
      <w:bCs/>
      <w:sz w:val="22"/>
      <w:szCs w:val="21"/>
    </w:rPr>
  </w:style>
  <w:style w:type="character" w:customStyle="1" w:styleId="font21">
    <w:name w:val="font21"/>
    <w:basedOn w:val="a0"/>
    <w:qFormat/>
    <w:rPr>
      <w:rFonts w:ascii="Calibri" w:hAnsi="Calibri" w:hint="default"/>
      <w:color w:val="000000"/>
      <w:sz w:val="22"/>
      <w:szCs w:val="22"/>
      <w:u w:val="none"/>
    </w:rPr>
  </w:style>
  <w:style w:type="character" w:customStyle="1" w:styleId="font81">
    <w:name w:val="font81"/>
    <w:basedOn w:val="a0"/>
    <w:qFormat/>
    <w:rPr>
      <w:rFonts w:ascii="楷体" w:eastAsia="楷体" w:hAnsi="楷体" w:cs="楷体" w:hint="eastAsia"/>
      <w:b/>
      <w:color w:val="000000"/>
      <w:sz w:val="18"/>
      <w:szCs w:val="18"/>
      <w:u w:val="none"/>
    </w:rPr>
  </w:style>
  <w:style w:type="character" w:customStyle="1" w:styleId="font51">
    <w:name w:val="font51"/>
    <w:basedOn w:val="a0"/>
    <w:qFormat/>
    <w:rPr>
      <w:rFonts w:ascii="楷体" w:eastAsia="楷体" w:hAnsi="楷体" w:cs="楷体" w:hint="eastAsia"/>
      <w:b/>
      <w:color w:val="4D4D4D"/>
      <w:sz w:val="18"/>
      <w:szCs w:val="18"/>
      <w:u w:val="none"/>
    </w:rPr>
  </w:style>
  <w:style w:type="character" w:customStyle="1" w:styleId="font41">
    <w:name w:val="font41"/>
    <w:basedOn w:val="a0"/>
    <w:qFormat/>
    <w:rPr>
      <w:rFonts w:ascii="Times New Roman" w:hAnsi="Times New Roman" w:cs="Times New Roman" w:hint="default"/>
      <w:b/>
      <w:color w:val="4D4D4D"/>
      <w:sz w:val="18"/>
      <w:szCs w:val="18"/>
      <w:u w:val="none"/>
    </w:rPr>
  </w:style>
  <w:style w:type="paragraph" w:customStyle="1" w:styleId="-2">
    <w:name w:val="♡图-标题"/>
    <w:basedOn w:val="af7"/>
    <w:link w:val="-3"/>
    <w:qFormat/>
    <w:rsid w:val="00A95EEE"/>
    <w:rPr>
      <w:bCs w:val="0"/>
    </w:rPr>
  </w:style>
  <w:style w:type="character" w:customStyle="1" w:styleId="-3">
    <w:name w:val="♡图-标题 字符"/>
    <w:basedOn w:val="af8"/>
    <w:link w:val="-2"/>
    <w:qFormat/>
    <w:rsid w:val="00A95EEE"/>
    <w:rPr>
      <w:rFonts w:eastAsia="楷体" w:cstheme="minorBidi"/>
      <w:b/>
      <w:bCs w:val="0"/>
      <w:kern w:val="2"/>
      <w:sz w:val="21"/>
      <w:szCs w:val="21"/>
    </w:rPr>
  </w:style>
  <w:style w:type="table" w:styleId="-10">
    <w:name w:val="Light List Accent 1"/>
    <w:basedOn w:val="a1"/>
    <w:uiPriority w:val="61"/>
    <w:rsid w:val="00597E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ntstyle01">
    <w:name w:val="fontstyle01"/>
    <w:basedOn w:val="a0"/>
    <w:rsid w:val="00C07BDF"/>
    <w:rPr>
      <w:rFonts w:ascii="黑体" w:eastAsia="黑体" w:hAnsi="黑体" w:hint="eastAsia"/>
      <w:b w:val="0"/>
      <w:bCs w:val="0"/>
      <w:i w:val="0"/>
      <w:iCs w:val="0"/>
      <w:color w:val="0D0D0D"/>
      <w:sz w:val="20"/>
      <w:szCs w:val="20"/>
    </w:rPr>
  </w:style>
  <w:style w:type="table" w:styleId="-11">
    <w:name w:val="Light Grid Accent 1"/>
    <w:basedOn w:val="a1"/>
    <w:uiPriority w:val="62"/>
    <w:rsid w:val="00F318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ff">
    <w:name w:val="Unresolved Mention"/>
    <w:basedOn w:val="a0"/>
    <w:uiPriority w:val="99"/>
    <w:semiHidden/>
    <w:unhideWhenUsed/>
    <w:rsid w:val="00EF1E2E"/>
    <w:rPr>
      <w:color w:val="605E5C"/>
      <w:shd w:val="clear" w:color="auto" w:fill="E1DFDD"/>
    </w:rPr>
  </w:style>
  <w:style w:type="table" w:styleId="3-1">
    <w:name w:val="List Table 3 Accent 1"/>
    <w:basedOn w:val="a1"/>
    <w:uiPriority w:val="48"/>
    <w:rsid w:val="00B210C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1-1">
    <w:name w:val="Grid Table 1 Light Accent 1"/>
    <w:basedOn w:val="a1"/>
    <w:uiPriority w:val="46"/>
    <w:rsid w:val="001F143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2881">
      <w:bodyDiv w:val="1"/>
      <w:marLeft w:val="0"/>
      <w:marRight w:val="0"/>
      <w:marTop w:val="0"/>
      <w:marBottom w:val="0"/>
      <w:divBdr>
        <w:top w:val="none" w:sz="0" w:space="0" w:color="auto"/>
        <w:left w:val="none" w:sz="0" w:space="0" w:color="auto"/>
        <w:bottom w:val="none" w:sz="0" w:space="0" w:color="auto"/>
        <w:right w:val="none" w:sz="0" w:space="0" w:color="auto"/>
      </w:divBdr>
    </w:div>
    <w:div w:id="234901446">
      <w:bodyDiv w:val="1"/>
      <w:marLeft w:val="0"/>
      <w:marRight w:val="0"/>
      <w:marTop w:val="0"/>
      <w:marBottom w:val="0"/>
      <w:divBdr>
        <w:top w:val="none" w:sz="0" w:space="0" w:color="auto"/>
        <w:left w:val="none" w:sz="0" w:space="0" w:color="auto"/>
        <w:bottom w:val="none" w:sz="0" w:space="0" w:color="auto"/>
        <w:right w:val="none" w:sz="0" w:space="0" w:color="auto"/>
      </w:divBdr>
    </w:div>
    <w:div w:id="465776904">
      <w:bodyDiv w:val="1"/>
      <w:marLeft w:val="0"/>
      <w:marRight w:val="0"/>
      <w:marTop w:val="0"/>
      <w:marBottom w:val="0"/>
      <w:divBdr>
        <w:top w:val="none" w:sz="0" w:space="0" w:color="auto"/>
        <w:left w:val="none" w:sz="0" w:space="0" w:color="auto"/>
        <w:bottom w:val="none" w:sz="0" w:space="0" w:color="auto"/>
        <w:right w:val="none" w:sz="0" w:space="0" w:color="auto"/>
      </w:divBdr>
    </w:div>
    <w:div w:id="544833153">
      <w:bodyDiv w:val="1"/>
      <w:marLeft w:val="0"/>
      <w:marRight w:val="0"/>
      <w:marTop w:val="0"/>
      <w:marBottom w:val="0"/>
      <w:divBdr>
        <w:top w:val="none" w:sz="0" w:space="0" w:color="auto"/>
        <w:left w:val="none" w:sz="0" w:space="0" w:color="auto"/>
        <w:bottom w:val="none" w:sz="0" w:space="0" w:color="auto"/>
        <w:right w:val="none" w:sz="0" w:space="0" w:color="auto"/>
      </w:divBdr>
      <w:divsChild>
        <w:div w:id="771364699">
          <w:marLeft w:val="0"/>
          <w:marRight w:val="0"/>
          <w:marTop w:val="0"/>
          <w:marBottom w:val="0"/>
          <w:divBdr>
            <w:top w:val="none" w:sz="0" w:space="0" w:color="auto"/>
            <w:left w:val="none" w:sz="0" w:space="0" w:color="auto"/>
            <w:bottom w:val="none" w:sz="0" w:space="0" w:color="auto"/>
            <w:right w:val="none" w:sz="0" w:space="0" w:color="auto"/>
          </w:divBdr>
        </w:div>
        <w:div w:id="62021957">
          <w:marLeft w:val="0"/>
          <w:marRight w:val="0"/>
          <w:marTop w:val="0"/>
          <w:marBottom w:val="0"/>
          <w:divBdr>
            <w:top w:val="none" w:sz="0" w:space="0" w:color="auto"/>
            <w:left w:val="none" w:sz="0" w:space="0" w:color="auto"/>
            <w:bottom w:val="none" w:sz="0" w:space="0" w:color="auto"/>
            <w:right w:val="none" w:sz="0" w:space="0" w:color="auto"/>
          </w:divBdr>
        </w:div>
        <w:div w:id="1211461649">
          <w:marLeft w:val="0"/>
          <w:marRight w:val="0"/>
          <w:marTop w:val="0"/>
          <w:marBottom w:val="0"/>
          <w:divBdr>
            <w:top w:val="none" w:sz="0" w:space="0" w:color="auto"/>
            <w:left w:val="none" w:sz="0" w:space="0" w:color="auto"/>
            <w:bottom w:val="none" w:sz="0" w:space="0" w:color="auto"/>
            <w:right w:val="none" w:sz="0" w:space="0" w:color="auto"/>
          </w:divBdr>
        </w:div>
        <w:div w:id="2014338125">
          <w:marLeft w:val="0"/>
          <w:marRight w:val="0"/>
          <w:marTop w:val="0"/>
          <w:marBottom w:val="0"/>
          <w:divBdr>
            <w:top w:val="none" w:sz="0" w:space="0" w:color="auto"/>
            <w:left w:val="none" w:sz="0" w:space="0" w:color="auto"/>
            <w:bottom w:val="none" w:sz="0" w:space="0" w:color="auto"/>
            <w:right w:val="none" w:sz="0" w:space="0" w:color="auto"/>
          </w:divBdr>
        </w:div>
        <w:div w:id="679703439">
          <w:marLeft w:val="0"/>
          <w:marRight w:val="0"/>
          <w:marTop w:val="0"/>
          <w:marBottom w:val="0"/>
          <w:divBdr>
            <w:top w:val="none" w:sz="0" w:space="0" w:color="auto"/>
            <w:left w:val="none" w:sz="0" w:space="0" w:color="auto"/>
            <w:bottom w:val="none" w:sz="0" w:space="0" w:color="auto"/>
            <w:right w:val="none" w:sz="0" w:space="0" w:color="auto"/>
          </w:divBdr>
        </w:div>
        <w:div w:id="1884056633">
          <w:marLeft w:val="0"/>
          <w:marRight w:val="0"/>
          <w:marTop w:val="0"/>
          <w:marBottom w:val="0"/>
          <w:divBdr>
            <w:top w:val="none" w:sz="0" w:space="0" w:color="auto"/>
            <w:left w:val="none" w:sz="0" w:space="0" w:color="auto"/>
            <w:bottom w:val="none" w:sz="0" w:space="0" w:color="auto"/>
            <w:right w:val="none" w:sz="0" w:space="0" w:color="auto"/>
          </w:divBdr>
        </w:div>
        <w:div w:id="16544415">
          <w:marLeft w:val="0"/>
          <w:marRight w:val="0"/>
          <w:marTop w:val="0"/>
          <w:marBottom w:val="0"/>
          <w:divBdr>
            <w:top w:val="none" w:sz="0" w:space="0" w:color="auto"/>
            <w:left w:val="none" w:sz="0" w:space="0" w:color="auto"/>
            <w:bottom w:val="none" w:sz="0" w:space="0" w:color="auto"/>
            <w:right w:val="none" w:sz="0" w:space="0" w:color="auto"/>
          </w:divBdr>
        </w:div>
        <w:div w:id="1879776216">
          <w:marLeft w:val="0"/>
          <w:marRight w:val="0"/>
          <w:marTop w:val="0"/>
          <w:marBottom w:val="0"/>
          <w:divBdr>
            <w:top w:val="none" w:sz="0" w:space="0" w:color="auto"/>
            <w:left w:val="none" w:sz="0" w:space="0" w:color="auto"/>
            <w:bottom w:val="none" w:sz="0" w:space="0" w:color="auto"/>
            <w:right w:val="none" w:sz="0" w:space="0" w:color="auto"/>
          </w:divBdr>
        </w:div>
        <w:div w:id="1128669966">
          <w:marLeft w:val="0"/>
          <w:marRight w:val="0"/>
          <w:marTop w:val="0"/>
          <w:marBottom w:val="0"/>
          <w:divBdr>
            <w:top w:val="none" w:sz="0" w:space="0" w:color="auto"/>
            <w:left w:val="none" w:sz="0" w:space="0" w:color="auto"/>
            <w:bottom w:val="none" w:sz="0" w:space="0" w:color="auto"/>
            <w:right w:val="none" w:sz="0" w:space="0" w:color="auto"/>
          </w:divBdr>
        </w:div>
        <w:div w:id="1349675910">
          <w:marLeft w:val="0"/>
          <w:marRight w:val="0"/>
          <w:marTop w:val="0"/>
          <w:marBottom w:val="0"/>
          <w:divBdr>
            <w:top w:val="none" w:sz="0" w:space="0" w:color="auto"/>
            <w:left w:val="none" w:sz="0" w:space="0" w:color="auto"/>
            <w:bottom w:val="none" w:sz="0" w:space="0" w:color="auto"/>
            <w:right w:val="none" w:sz="0" w:space="0" w:color="auto"/>
          </w:divBdr>
        </w:div>
        <w:div w:id="344677625">
          <w:marLeft w:val="0"/>
          <w:marRight w:val="0"/>
          <w:marTop w:val="0"/>
          <w:marBottom w:val="0"/>
          <w:divBdr>
            <w:top w:val="none" w:sz="0" w:space="0" w:color="auto"/>
            <w:left w:val="none" w:sz="0" w:space="0" w:color="auto"/>
            <w:bottom w:val="none" w:sz="0" w:space="0" w:color="auto"/>
            <w:right w:val="none" w:sz="0" w:space="0" w:color="auto"/>
          </w:divBdr>
        </w:div>
        <w:div w:id="1447700732">
          <w:marLeft w:val="0"/>
          <w:marRight w:val="0"/>
          <w:marTop w:val="0"/>
          <w:marBottom w:val="0"/>
          <w:divBdr>
            <w:top w:val="none" w:sz="0" w:space="0" w:color="auto"/>
            <w:left w:val="none" w:sz="0" w:space="0" w:color="auto"/>
            <w:bottom w:val="none" w:sz="0" w:space="0" w:color="auto"/>
            <w:right w:val="none" w:sz="0" w:space="0" w:color="auto"/>
          </w:divBdr>
        </w:div>
        <w:div w:id="1838180972">
          <w:marLeft w:val="0"/>
          <w:marRight w:val="0"/>
          <w:marTop w:val="0"/>
          <w:marBottom w:val="0"/>
          <w:divBdr>
            <w:top w:val="none" w:sz="0" w:space="0" w:color="auto"/>
            <w:left w:val="none" w:sz="0" w:space="0" w:color="auto"/>
            <w:bottom w:val="none" w:sz="0" w:space="0" w:color="auto"/>
            <w:right w:val="none" w:sz="0" w:space="0" w:color="auto"/>
          </w:divBdr>
        </w:div>
      </w:divsChild>
    </w:div>
    <w:div w:id="553275408">
      <w:bodyDiv w:val="1"/>
      <w:marLeft w:val="0"/>
      <w:marRight w:val="0"/>
      <w:marTop w:val="0"/>
      <w:marBottom w:val="0"/>
      <w:divBdr>
        <w:top w:val="none" w:sz="0" w:space="0" w:color="auto"/>
        <w:left w:val="none" w:sz="0" w:space="0" w:color="auto"/>
        <w:bottom w:val="none" w:sz="0" w:space="0" w:color="auto"/>
        <w:right w:val="none" w:sz="0" w:space="0" w:color="auto"/>
      </w:divBdr>
    </w:div>
    <w:div w:id="619992248">
      <w:bodyDiv w:val="1"/>
      <w:marLeft w:val="0"/>
      <w:marRight w:val="0"/>
      <w:marTop w:val="0"/>
      <w:marBottom w:val="0"/>
      <w:divBdr>
        <w:top w:val="none" w:sz="0" w:space="0" w:color="auto"/>
        <w:left w:val="none" w:sz="0" w:space="0" w:color="auto"/>
        <w:bottom w:val="none" w:sz="0" w:space="0" w:color="auto"/>
        <w:right w:val="none" w:sz="0" w:space="0" w:color="auto"/>
      </w:divBdr>
    </w:div>
    <w:div w:id="798105109">
      <w:bodyDiv w:val="1"/>
      <w:marLeft w:val="0"/>
      <w:marRight w:val="0"/>
      <w:marTop w:val="0"/>
      <w:marBottom w:val="0"/>
      <w:divBdr>
        <w:top w:val="none" w:sz="0" w:space="0" w:color="auto"/>
        <w:left w:val="none" w:sz="0" w:space="0" w:color="auto"/>
        <w:bottom w:val="none" w:sz="0" w:space="0" w:color="auto"/>
        <w:right w:val="none" w:sz="0" w:space="0" w:color="auto"/>
      </w:divBdr>
    </w:div>
    <w:div w:id="1458915223">
      <w:bodyDiv w:val="1"/>
      <w:marLeft w:val="0"/>
      <w:marRight w:val="0"/>
      <w:marTop w:val="0"/>
      <w:marBottom w:val="0"/>
      <w:divBdr>
        <w:top w:val="none" w:sz="0" w:space="0" w:color="auto"/>
        <w:left w:val="none" w:sz="0" w:space="0" w:color="auto"/>
        <w:bottom w:val="none" w:sz="0" w:space="0" w:color="auto"/>
        <w:right w:val="none" w:sz="0" w:space="0" w:color="auto"/>
      </w:divBdr>
    </w:div>
    <w:div w:id="1670984700">
      <w:bodyDiv w:val="1"/>
      <w:marLeft w:val="0"/>
      <w:marRight w:val="0"/>
      <w:marTop w:val="0"/>
      <w:marBottom w:val="0"/>
      <w:divBdr>
        <w:top w:val="none" w:sz="0" w:space="0" w:color="auto"/>
        <w:left w:val="none" w:sz="0" w:space="0" w:color="auto"/>
        <w:bottom w:val="none" w:sz="0" w:space="0" w:color="auto"/>
        <w:right w:val="none" w:sz="0" w:space="0" w:color="auto"/>
      </w:divBdr>
    </w:div>
    <w:div w:id="1708408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PE@15.18HK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gyint\Desktop\&#20449;&#20041;&#29627;&#29827;&#26356;&#26032;&#25253;&#21578;\&#26356;&#26032;&#25253;&#21578;&#22270;&#349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Sheet1!$N$39</c:f>
              <c:strCache>
                <c:ptCount val="1"/>
                <c:pt idx="0">
                  <c:v>毛利率</c:v>
                </c:pt>
              </c:strCache>
            </c:strRef>
          </c:tx>
          <c:spPr>
            <a:ln w="28575" cap="rnd">
              <a:solidFill>
                <a:schemeClr val="accent1"/>
              </a:solidFill>
              <a:round/>
            </a:ln>
            <a:effectLst/>
          </c:spPr>
          <c:marker>
            <c:symbol val="none"/>
          </c:marker>
          <c:dLbls>
            <c:dLbl>
              <c:idx val="0"/>
              <c:layout>
                <c:manualLayout>
                  <c:x val="-3.0555555555555555E-2"/>
                  <c:y val="-3.7037037037037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11-490A-8A63-B2B294219EDB}"/>
                </c:ext>
              </c:extLst>
            </c:dLbl>
            <c:dLbl>
              <c:idx val="1"/>
              <c:layout>
                <c:manualLayout>
                  <c:x val="-1.9444444444444497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11-490A-8A63-B2B294219EDB}"/>
                </c:ext>
              </c:extLst>
            </c:dLbl>
            <c:dLbl>
              <c:idx val="2"/>
              <c:layout>
                <c:manualLayout>
                  <c:x val="-2.7777777777777776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11-490A-8A63-B2B294219EDB}"/>
                </c:ext>
              </c:extLst>
            </c:dLbl>
            <c:dLbl>
              <c:idx val="3"/>
              <c:layout>
                <c:manualLayout>
                  <c:x val="-3.6111111111111108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11-490A-8A63-B2B294219E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Sheet1!$O$38:$T$38</c:f>
              <c:strCache>
                <c:ptCount val="6"/>
                <c:pt idx="0">
                  <c:v>2017</c:v>
                </c:pt>
                <c:pt idx="1">
                  <c:v>2018</c:v>
                </c:pt>
                <c:pt idx="2">
                  <c:v>2019</c:v>
                </c:pt>
                <c:pt idx="3">
                  <c:v>2020</c:v>
                </c:pt>
                <c:pt idx="4">
                  <c:v>2021</c:v>
                </c:pt>
                <c:pt idx="5">
                  <c:v>2022 H1</c:v>
                </c:pt>
              </c:strCache>
            </c:strRef>
          </c:cat>
          <c:val>
            <c:numRef>
              <c:f>Sheet1!$O$39:$T$39</c:f>
              <c:numCache>
                <c:formatCode>0.00%</c:formatCode>
                <c:ptCount val="6"/>
                <c:pt idx="0" formatCode="0%">
                  <c:v>0.37</c:v>
                </c:pt>
                <c:pt idx="1">
                  <c:v>0.36699999999999999</c:v>
                </c:pt>
                <c:pt idx="2">
                  <c:v>0.36199999999999999</c:v>
                </c:pt>
                <c:pt idx="3">
                  <c:v>0.41699999999999998</c:v>
                </c:pt>
                <c:pt idx="4">
                  <c:v>0.51800000000000002</c:v>
                </c:pt>
                <c:pt idx="5">
                  <c:v>0.38400000000000001</c:v>
                </c:pt>
              </c:numCache>
            </c:numRef>
          </c:val>
          <c:smooth val="1"/>
          <c:extLst>
            <c:ext xmlns:c16="http://schemas.microsoft.com/office/drawing/2014/chart" uri="{C3380CC4-5D6E-409C-BE32-E72D297353CC}">
              <c16:uniqueId val="{00000004-CE11-490A-8A63-B2B294219EDB}"/>
            </c:ext>
          </c:extLst>
        </c:ser>
        <c:ser>
          <c:idx val="1"/>
          <c:order val="1"/>
          <c:tx>
            <c:strRef>
              <c:f>Sheet1!$N$40</c:f>
              <c:strCache>
                <c:ptCount val="1"/>
                <c:pt idx="0">
                  <c:v>纯利率</c:v>
                </c:pt>
              </c:strCache>
            </c:strRef>
          </c:tx>
          <c:spPr>
            <a:ln w="28575" cap="rnd">
              <a:solidFill>
                <a:schemeClr val="accent2"/>
              </a:solidFill>
              <a:round/>
            </a:ln>
            <a:effectLst/>
          </c:spPr>
          <c:marker>
            <c:symbol val="none"/>
          </c:marker>
          <c:dLbls>
            <c:dLbl>
              <c:idx val="0"/>
              <c:layout>
                <c:manualLayout>
                  <c:x val="-4.1666666666666664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11-490A-8A63-B2B294219EDB}"/>
                </c:ext>
              </c:extLst>
            </c:dLbl>
            <c:dLbl>
              <c:idx val="1"/>
              <c:layout>
                <c:manualLayout>
                  <c:x val="-1.9444444444444497E-2"/>
                  <c:y val="-7.40740740740741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11-490A-8A63-B2B294219EDB}"/>
                </c:ext>
              </c:extLst>
            </c:dLbl>
            <c:dLbl>
              <c:idx val="2"/>
              <c:layout>
                <c:manualLayout>
                  <c:x val="-2.2222222222222223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11-490A-8A63-B2B294219EDB}"/>
                </c:ext>
              </c:extLst>
            </c:dLbl>
            <c:dLbl>
              <c:idx val="3"/>
              <c:layout>
                <c:manualLayout>
                  <c:x val="-8.3333333333333332E-3"/>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E11-490A-8A63-B2B294219E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Sheet1!$O$38:$T$38</c:f>
              <c:strCache>
                <c:ptCount val="6"/>
                <c:pt idx="0">
                  <c:v>2017</c:v>
                </c:pt>
                <c:pt idx="1">
                  <c:v>2018</c:v>
                </c:pt>
                <c:pt idx="2">
                  <c:v>2019</c:v>
                </c:pt>
                <c:pt idx="3">
                  <c:v>2020</c:v>
                </c:pt>
                <c:pt idx="4">
                  <c:v>2021</c:v>
                </c:pt>
                <c:pt idx="5">
                  <c:v>2022 H1</c:v>
                </c:pt>
              </c:strCache>
            </c:strRef>
          </c:cat>
          <c:val>
            <c:numRef>
              <c:f>Sheet1!$O$40:$T$40</c:f>
              <c:numCache>
                <c:formatCode>0.00%</c:formatCode>
                <c:ptCount val="6"/>
                <c:pt idx="0">
                  <c:v>0.26500000000000001</c:v>
                </c:pt>
                <c:pt idx="1">
                  <c:v>0.26500000000000001</c:v>
                </c:pt>
                <c:pt idx="2">
                  <c:v>0.27500000000000002</c:v>
                </c:pt>
                <c:pt idx="3">
                  <c:v>0.34499999999999997</c:v>
                </c:pt>
                <c:pt idx="4">
                  <c:v>0.379</c:v>
                </c:pt>
                <c:pt idx="5">
                  <c:v>0.24199999999999999</c:v>
                </c:pt>
              </c:numCache>
            </c:numRef>
          </c:val>
          <c:smooth val="1"/>
          <c:extLst>
            <c:ext xmlns:c16="http://schemas.microsoft.com/office/drawing/2014/chart" uri="{C3380CC4-5D6E-409C-BE32-E72D297353CC}">
              <c16:uniqueId val="{00000009-CE11-490A-8A63-B2B294219EDB}"/>
            </c:ext>
          </c:extLst>
        </c:ser>
        <c:dLbls>
          <c:showLegendKey val="0"/>
          <c:showVal val="0"/>
          <c:showCatName val="0"/>
          <c:showSerName val="0"/>
          <c:showPercent val="0"/>
          <c:showBubbleSize val="0"/>
        </c:dLbls>
        <c:smooth val="0"/>
        <c:axId val="1875801999"/>
        <c:axId val="1875809071"/>
      </c:lineChart>
      <c:catAx>
        <c:axId val="1875801999"/>
        <c:scaling>
          <c:orientation val="minMax"/>
        </c:scaling>
        <c:delete val="0"/>
        <c:axPos val="b"/>
        <c:numFmt formatCode="General" sourceLinked="1"/>
        <c:majorTickMark val="in"/>
        <c:minorTickMark val="in"/>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875809071"/>
        <c:crosses val="autoZero"/>
        <c:auto val="1"/>
        <c:lblAlgn val="ctr"/>
        <c:lblOffset val="100"/>
        <c:noMultiLvlLbl val="0"/>
      </c:catAx>
      <c:valAx>
        <c:axId val="1875809071"/>
        <c:scaling>
          <c:orientation val="minMax"/>
        </c:scaling>
        <c:delete val="0"/>
        <c:axPos val="l"/>
        <c:majorGridlines>
          <c:spPr>
            <a:ln w="9525" cap="flat" cmpd="sng" algn="ctr">
              <a:noFill/>
              <a:round/>
            </a:ln>
            <a:effectLst/>
          </c:spPr>
        </c:majorGridlines>
        <c:numFmt formatCode="0%" sourceLinked="1"/>
        <c:majorTickMark val="in"/>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1875801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7A0A95-65B8-41E0-A81B-338EAA937D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Pages>
  <Words>436</Words>
  <Characters>2487</Characters>
  <Application>Microsoft Office Word</Application>
  <DocSecurity>0</DocSecurity>
  <Lines>20</Lines>
  <Paragraphs>5</Paragraphs>
  <ScaleCrop>false</ScaleCrop>
  <Company>Lenovo</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gyhk-yanjiu</dc:creator>
  <cp:lastModifiedBy>gyint</cp:lastModifiedBy>
  <cp:revision>86</cp:revision>
  <cp:lastPrinted>2022-08-03T09:31:00Z</cp:lastPrinted>
  <dcterms:created xsi:type="dcterms:W3CDTF">2021-12-22T08:31:00Z</dcterms:created>
  <dcterms:modified xsi:type="dcterms:W3CDTF">2022-08-03T09:32:00Z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